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9269" w14:textId="7AC0A12E" w:rsidR="00BA4C0D" w:rsidRDefault="00BA4C0D" w:rsidP="00DE744B">
      <w:pPr>
        <w:pStyle w:val="Title"/>
        <w:spacing w:after="120" w:line="240" w:lineRule="auto"/>
        <w:jc w:val="left"/>
        <w:rPr>
          <w:sz w:val="24"/>
          <w:szCs w:val="24"/>
        </w:rPr>
      </w:pPr>
      <w:bookmarkStart w:id="0" w:name="_GoBack"/>
      <w:bookmarkEnd w:id="0"/>
    </w:p>
    <w:p w14:paraId="058991E7" w14:textId="77777777" w:rsidR="00BA4C0D" w:rsidRDefault="00BA4C0D">
      <w:pPr>
        <w:pStyle w:val="Title"/>
        <w:spacing w:after="120" w:line="240" w:lineRule="auto"/>
        <w:rPr>
          <w:sz w:val="24"/>
          <w:szCs w:val="24"/>
        </w:rPr>
      </w:pPr>
    </w:p>
    <w:p w14:paraId="09AEF089" w14:textId="77777777" w:rsidR="00826146" w:rsidRDefault="00302192">
      <w:pPr>
        <w:pStyle w:val="Title"/>
        <w:spacing w:after="120" w:line="240" w:lineRule="auto"/>
        <w:rPr>
          <w:sz w:val="24"/>
          <w:szCs w:val="24"/>
        </w:rPr>
      </w:pPr>
      <w:r>
        <w:rPr>
          <w:sz w:val="24"/>
          <w:szCs w:val="24"/>
        </w:rPr>
        <w:t>NOTĂ DE FUNDAMENTARE</w:t>
      </w:r>
    </w:p>
    <w:p w14:paraId="174E724B" w14:textId="77777777" w:rsidR="00BA4C0D" w:rsidRDefault="00BA4C0D" w:rsidP="00B31D21">
      <w:pPr>
        <w:pStyle w:val="Title"/>
        <w:spacing w:after="120" w:line="240" w:lineRule="auto"/>
        <w:jc w:val="left"/>
        <w:rPr>
          <w:sz w:val="24"/>
          <w:szCs w:val="24"/>
        </w:rPr>
      </w:pPr>
    </w:p>
    <w:p w14:paraId="37835567" w14:textId="77777777" w:rsidR="00826146" w:rsidRDefault="00302192" w:rsidP="00714C07">
      <w:pPr>
        <w:pStyle w:val="Title"/>
        <w:spacing w:line="240" w:lineRule="auto"/>
        <w:ind w:firstLine="720"/>
        <w:jc w:val="left"/>
        <w:rPr>
          <w:sz w:val="24"/>
          <w:szCs w:val="24"/>
        </w:rPr>
      </w:pPr>
      <w:r>
        <w:rPr>
          <w:sz w:val="24"/>
          <w:szCs w:val="24"/>
        </w:rPr>
        <w:t>Secțiunea 1</w:t>
      </w:r>
    </w:p>
    <w:p w14:paraId="44702610" w14:textId="77777777" w:rsidR="00826146" w:rsidRDefault="00302192" w:rsidP="00714C07">
      <w:pPr>
        <w:pStyle w:val="Title"/>
        <w:spacing w:line="240" w:lineRule="auto"/>
        <w:ind w:firstLine="720"/>
        <w:jc w:val="left"/>
        <w:rPr>
          <w:sz w:val="24"/>
          <w:szCs w:val="24"/>
        </w:rPr>
      </w:pPr>
      <w:r>
        <w:rPr>
          <w:sz w:val="24"/>
          <w:szCs w:val="24"/>
        </w:rPr>
        <w:t>Titlul proiectului de act normativ</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26146" w:rsidRPr="00DE744B" w14:paraId="46F83FEB" w14:textId="77777777">
        <w:tc>
          <w:tcPr>
            <w:tcW w:w="10490" w:type="dxa"/>
          </w:tcPr>
          <w:p w14:paraId="1D70FEE5" w14:textId="77777777" w:rsidR="00BA4C0D" w:rsidRPr="00DE744B" w:rsidRDefault="00BA4C0D" w:rsidP="00DE744B">
            <w:pPr>
              <w:rPr>
                <w:rFonts w:ascii="Trebuchet MS" w:hAnsi="Trebuchet MS"/>
                <w:sz w:val="22"/>
                <w:szCs w:val="22"/>
              </w:rPr>
            </w:pPr>
          </w:p>
          <w:p w14:paraId="12EF4AD2" w14:textId="77777777" w:rsidR="00E339F8" w:rsidRPr="00DE744B" w:rsidRDefault="00E339F8" w:rsidP="00E339F8">
            <w:pPr>
              <w:widowControl w:val="0"/>
              <w:jc w:val="center"/>
              <w:rPr>
                <w:rFonts w:ascii="Trebuchet MS" w:hAnsi="Trebuchet MS"/>
                <w:sz w:val="22"/>
                <w:szCs w:val="22"/>
              </w:rPr>
            </w:pPr>
            <w:r w:rsidRPr="00DE744B">
              <w:rPr>
                <w:rFonts w:ascii="Trebuchet MS" w:hAnsi="Trebuchet MS" w:cs="Arial"/>
                <w:bCs/>
                <w:color w:val="000000" w:themeColor="text1"/>
                <w:sz w:val="22"/>
                <w:szCs w:val="22"/>
              </w:rPr>
              <w:t xml:space="preserve">ORDONANŢĂ </w:t>
            </w:r>
          </w:p>
          <w:p w14:paraId="0116138A" w14:textId="77777777" w:rsidR="00BA4C0D" w:rsidRPr="00DE744B" w:rsidRDefault="00E339F8" w:rsidP="00E339F8">
            <w:pPr>
              <w:jc w:val="center"/>
              <w:rPr>
                <w:sz w:val="22"/>
                <w:szCs w:val="22"/>
                <w:lang w:eastAsia="ro-RO"/>
              </w:rPr>
            </w:pPr>
            <w:r w:rsidRPr="00DE744B">
              <w:rPr>
                <w:rFonts w:ascii="Trebuchet MS" w:hAnsi="Trebuchet MS" w:cs="Arial"/>
                <w:bCs/>
                <w:color w:val="000000" w:themeColor="text1"/>
                <w:sz w:val="22"/>
                <w:szCs w:val="22"/>
              </w:rPr>
              <w:t>pentru modificarea și completarea Legii nr. 207/2015 privind Codul de procedură fiscală</w:t>
            </w:r>
          </w:p>
        </w:tc>
      </w:tr>
    </w:tbl>
    <w:p w14:paraId="6A3767AA" w14:textId="77777777" w:rsidR="00DE744B" w:rsidRDefault="00DE744B" w:rsidP="00714C07">
      <w:pPr>
        <w:spacing w:after="120"/>
        <w:jc w:val="both"/>
        <w:rPr>
          <w:b/>
          <w:sz w:val="22"/>
          <w:szCs w:val="22"/>
          <w:lang w:eastAsia="ro-RO"/>
        </w:rPr>
      </w:pPr>
    </w:p>
    <w:p w14:paraId="3CB8E959" w14:textId="58F5D69F" w:rsidR="00826146" w:rsidRPr="00DE744B" w:rsidRDefault="00302192" w:rsidP="00714C07">
      <w:pPr>
        <w:ind w:firstLine="720"/>
        <w:jc w:val="both"/>
        <w:rPr>
          <w:b/>
          <w:sz w:val="22"/>
          <w:szCs w:val="22"/>
          <w:lang w:eastAsia="ro-RO"/>
        </w:rPr>
      </w:pPr>
      <w:r w:rsidRPr="00DE744B">
        <w:rPr>
          <w:b/>
          <w:sz w:val="22"/>
          <w:szCs w:val="22"/>
          <w:lang w:eastAsia="ro-RO"/>
        </w:rPr>
        <w:t xml:space="preserve">Secțiunea a 2-a  </w:t>
      </w:r>
    </w:p>
    <w:p w14:paraId="1CDCCB82" w14:textId="77777777" w:rsidR="00826146" w:rsidRDefault="00302192" w:rsidP="00714C07">
      <w:pPr>
        <w:ind w:firstLine="720"/>
        <w:jc w:val="both"/>
        <w:rPr>
          <w:b/>
          <w:lang w:eastAsia="ro-RO"/>
        </w:rPr>
      </w:pPr>
      <w:r>
        <w:rPr>
          <w:b/>
          <w:lang w:eastAsia="ro-RO"/>
        </w:rPr>
        <w:t xml:space="preserve">Motivul emiterii actului normativ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26146" w14:paraId="2592FBC4" w14:textId="77777777">
        <w:trPr>
          <w:trHeight w:val="841"/>
        </w:trPr>
        <w:tc>
          <w:tcPr>
            <w:tcW w:w="10490" w:type="dxa"/>
          </w:tcPr>
          <w:p w14:paraId="5D77FB56" w14:textId="77777777" w:rsidR="00826146" w:rsidRDefault="00302192">
            <w:pPr>
              <w:spacing w:line="276" w:lineRule="auto"/>
              <w:jc w:val="both"/>
              <w:rPr>
                <w:rFonts w:ascii="Trebuchet MS" w:hAnsi="Trebuchet MS" w:cs="Segoe UI"/>
                <w:b/>
                <w:bCs/>
                <w:iCs/>
                <w:sz w:val="22"/>
                <w:szCs w:val="22"/>
              </w:rPr>
            </w:pPr>
            <w:r>
              <w:rPr>
                <w:rFonts w:ascii="Trebuchet MS" w:hAnsi="Trebuchet MS" w:cs="Segoe UI"/>
                <w:b/>
                <w:bCs/>
                <w:iCs/>
                <w:sz w:val="22"/>
                <w:szCs w:val="22"/>
              </w:rPr>
              <w:t>2.1 Sursa proiectului de act normativ</w:t>
            </w:r>
          </w:p>
          <w:p w14:paraId="06D75B4E" w14:textId="2C174DD5" w:rsidR="00E339F8" w:rsidRPr="00714C07" w:rsidRDefault="00E339F8">
            <w:pPr>
              <w:spacing w:line="276" w:lineRule="auto"/>
              <w:jc w:val="both"/>
              <w:rPr>
                <w:rFonts w:ascii="Trebuchet MS" w:hAnsi="Trebuchet MS"/>
                <w:sz w:val="22"/>
                <w:szCs w:val="22"/>
              </w:rPr>
            </w:pPr>
            <w:r w:rsidRPr="00D64D6E">
              <w:rPr>
                <w:rFonts w:ascii="Trebuchet MS" w:hAnsi="Trebuchet MS"/>
                <w:sz w:val="22"/>
                <w:szCs w:val="22"/>
              </w:rPr>
              <w:t>Directiva (UE) 514/2021 A CONSILIULUI din 22 martie 2021 de modificare a Directivei 2011/16/UE privind cooperarea administrativă în domeniul fiscal.</w:t>
            </w:r>
          </w:p>
          <w:p w14:paraId="0ED68506" w14:textId="79C5DD9C" w:rsidR="005750FB" w:rsidRDefault="00302192">
            <w:pPr>
              <w:spacing w:line="276" w:lineRule="auto"/>
              <w:jc w:val="both"/>
              <w:rPr>
                <w:rFonts w:ascii="Trebuchet MS" w:hAnsi="Trebuchet MS" w:cs="Segoe UI"/>
                <w:b/>
                <w:bCs/>
                <w:iCs/>
                <w:sz w:val="22"/>
                <w:szCs w:val="22"/>
              </w:rPr>
            </w:pPr>
            <w:r>
              <w:rPr>
                <w:rFonts w:ascii="Trebuchet MS" w:hAnsi="Trebuchet MS" w:cs="Segoe UI"/>
                <w:b/>
                <w:bCs/>
                <w:iCs/>
                <w:sz w:val="22"/>
                <w:szCs w:val="22"/>
              </w:rPr>
              <w:t>2.2 Descrierea situației actuale</w:t>
            </w:r>
          </w:p>
          <w:p w14:paraId="36D3B27E" w14:textId="34AD8D2C" w:rsidR="00290AAE" w:rsidRDefault="00BE4FBB">
            <w:pPr>
              <w:spacing w:line="276" w:lineRule="auto"/>
              <w:jc w:val="both"/>
              <w:rPr>
                <w:rFonts w:ascii="Trebuchet MS" w:hAnsi="Trebuchet MS" w:cs="Segoe UI"/>
                <w:bCs/>
                <w:iCs/>
                <w:sz w:val="22"/>
                <w:szCs w:val="22"/>
              </w:rPr>
            </w:pPr>
            <w:r w:rsidRPr="006A608F">
              <w:rPr>
                <w:rFonts w:ascii="Trebuchet MS" w:hAnsi="Trebuchet MS" w:cs="Segoe UI"/>
                <w:bCs/>
                <w:iCs/>
                <w:sz w:val="22"/>
                <w:szCs w:val="22"/>
              </w:rPr>
              <w:t xml:space="preserve">I. </w:t>
            </w:r>
            <w:r w:rsidR="00290AAE" w:rsidRPr="006A608F">
              <w:rPr>
                <w:rFonts w:ascii="Trebuchet MS" w:hAnsi="Trebuchet MS" w:cs="Segoe UI"/>
                <w:bCs/>
                <w:iCs/>
                <w:sz w:val="22"/>
                <w:szCs w:val="22"/>
              </w:rPr>
              <w:t xml:space="preserve">În prezent Agenția Națională de Administrare Fiscală nu are posibilitatea de a efectua verificări și controale la Instituțiile Financiare Raportoare pentru a verifica respectarea de către acestea a procedurilor de raportare şi de diligenţă fiscală prevăzute în anexele </w:t>
            </w:r>
            <w:r w:rsidR="00465223">
              <w:rPr>
                <w:rFonts w:ascii="Trebuchet MS" w:hAnsi="Trebuchet MS" w:cs="Segoe UI"/>
                <w:bCs/>
                <w:iCs/>
                <w:sz w:val="22"/>
                <w:szCs w:val="22"/>
              </w:rPr>
              <w:t xml:space="preserve">nr. </w:t>
            </w:r>
            <w:r w:rsidR="00290AAE" w:rsidRPr="006A608F">
              <w:rPr>
                <w:rFonts w:ascii="Trebuchet MS" w:hAnsi="Trebuchet MS" w:cs="Segoe UI"/>
                <w:bCs/>
                <w:iCs/>
                <w:sz w:val="22"/>
                <w:szCs w:val="22"/>
              </w:rPr>
              <w:t xml:space="preserve">1 și 2 şi a procedurilor de conformare prevăzute în anexa I la Acordul FATCA, precum și pentru a le </w:t>
            </w:r>
            <w:r w:rsidR="00465223">
              <w:rPr>
                <w:rFonts w:ascii="Trebuchet MS" w:hAnsi="Trebuchet MS" w:cs="Segoe UI"/>
                <w:bCs/>
                <w:iCs/>
                <w:sz w:val="22"/>
                <w:szCs w:val="22"/>
              </w:rPr>
              <w:t xml:space="preserve">verifica </w:t>
            </w:r>
            <w:r w:rsidR="00290AAE" w:rsidRPr="006A608F">
              <w:rPr>
                <w:rFonts w:ascii="Trebuchet MS" w:hAnsi="Trebuchet MS" w:cs="Segoe UI"/>
                <w:bCs/>
                <w:iCs/>
                <w:sz w:val="22"/>
                <w:szCs w:val="22"/>
              </w:rPr>
              <w:t>pe acestea în cazul în care sunt raportate conturi nedocumentate.</w:t>
            </w:r>
          </w:p>
          <w:p w14:paraId="0D4DE633" w14:textId="6A9846B7" w:rsidR="00E67788" w:rsidRDefault="00E67788">
            <w:pPr>
              <w:spacing w:line="276" w:lineRule="auto"/>
              <w:jc w:val="both"/>
              <w:rPr>
                <w:rFonts w:ascii="Trebuchet MS" w:hAnsi="Trebuchet MS" w:cs="Segoe UI"/>
                <w:bCs/>
                <w:iCs/>
                <w:sz w:val="22"/>
                <w:szCs w:val="22"/>
              </w:rPr>
            </w:pPr>
            <w:r>
              <w:rPr>
                <w:rFonts w:ascii="Trebuchet MS" w:hAnsi="Trebuchet MS" w:cs="Segoe UI"/>
                <w:bCs/>
                <w:iCs/>
                <w:sz w:val="22"/>
                <w:szCs w:val="22"/>
              </w:rPr>
              <w:t>De asemenea, nu este stabilit un termen în interiorul căruia instituțiile financiare raportoare trebuie să se conformeze cu dispozițiile art. 62  alin.(12) din Codul de procedură fiscală.</w:t>
            </w:r>
          </w:p>
          <w:p w14:paraId="6896750E" w14:textId="77777777" w:rsidR="006A608F" w:rsidRPr="006A608F" w:rsidRDefault="006A608F">
            <w:pPr>
              <w:spacing w:line="276" w:lineRule="auto"/>
              <w:jc w:val="both"/>
              <w:rPr>
                <w:rFonts w:ascii="Trebuchet MS" w:hAnsi="Trebuchet MS" w:cs="Segoe UI"/>
                <w:bCs/>
                <w:iCs/>
                <w:sz w:val="22"/>
                <w:szCs w:val="22"/>
              </w:rPr>
            </w:pPr>
          </w:p>
          <w:p w14:paraId="0D93F6A2" w14:textId="10A0608C" w:rsidR="00964F05" w:rsidRDefault="00BE4FBB" w:rsidP="00964F05">
            <w:pPr>
              <w:spacing w:line="360" w:lineRule="auto"/>
              <w:jc w:val="both"/>
              <w:rPr>
                <w:rFonts w:ascii="Trebuchet MS" w:hAnsi="Trebuchet MS"/>
                <w:sz w:val="22"/>
                <w:szCs w:val="22"/>
              </w:rPr>
            </w:pPr>
            <w:r>
              <w:rPr>
                <w:rFonts w:ascii="Trebuchet MS" w:hAnsi="Trebuchet MS"/>
                <w:sz w:val="22"/>
                <w:szCs w:val="22"/>
              </w:rPr>
              <w:t>I</w:t>
            </w:r>
            <w:r w:rsidR="00964F05">
              <w:rPr>
                <w:rFonts w:ascii="Trebuchet MS" w:hAnsi="Trebuchet MS"/>
                <w:sz w:val="22"/>
                <w:szCs w:val="22"/>
              </w:rPr>
              <w:t>I.Procedură amiabilă</w:t>
            </w:r>
          </w:p>
          <w:p w14:paraId="7B3D543F" w14:textId="28E990AA" w:rsidR="00964F05" w:rsidRPr="006A608F" w:rsidRDefault="00964F05" w:rsidP="006A608F">
            <w:pPr>
              <w:jc w:val="both"/>
              <w:rPr>
                <w:rFonts w:ascii="Trebuchet MS" w:eastAsiaTheme="minorHAnsi" w:hAnsi="Trebuchet MS"/>
                <w:sz w:val="22"/>
                <w:szCs w:val="22"/>
                <w:lang w:val="en-US"/>
              </w:rPr>
            </w:pPr>
            <w:r>
              <w:rPr>
                <w:rFonts w:ascii="Trebuchet MS" w:hAnsi="Trebuchet MS"/>
                <w:sz w:val="22"/>
                <w:szCs w:val="22"/>
              </w:rPr>
              <w:t>1.</w:t>
            </w:r>
            <w:r w:rsidRPr="006A608F">
              <w:rPr>
                <w:rFonts w:ascii="Trebuchet MS" w:hAnsi="Trebuchet MS"/>
                <w:sz w:val="22"/>
                <w:szCs w:val="22"/>
              </w:rPr>
              <w:t xml:space="preserve">În prezent, potrivit art. 282 alin.(1) </w:t>
            </w:r>
            <w:r w:rsidR="00FA4639">
              <w:rPr>
                <w:rFonts w:ascii="Trebuchet MS" w:hAnsi="Trebuchet MS"/>
                <w:sz w:val="22"/>
                <w:szCs w:val="22"/>
              </w:rPr>
              <w:t xml:space="preserve">din Codul de procedură fiscală, </w:t>
            </w:r>
            <w:proofErr w:type="spellStart"/>
            <w:r w:rsidRPr="006A608F">
              <w:rPr>
                <w:rFonts w:ascii="Trebuchet MS" w:eastAsiaTheme="minorHAnsi" w:hAnsi="Trebuchet MS"/>
                <w:sz w:val="22"/>
                <w:szCs w:val="22"/>
                <w:lang w:val="en-US"/>
              </w:rPr>
              <w:t>contribuabilul</w:t>
            </w:r>
            <w:proofErr w:type="spellEnd"/>
            <w:r w:rsidRPr="006A608F">
              <w:rPr>
                <w:rFonts w:ascii="Trebuchet MS" w:eastAsiaTheme="minorHAnsi" w:hAnsi="Trebuchet MS"/>
                <w:sz w:val="22"/>
                <w:szCs w:val="22"/>
                <w:lang w:val="en-US"/>
              </w:rPr>
              <w:t>/</w:t>
            </w:r>
            <w:proofErr w:type="spellStart"/>
            <w:r w:rsidRPr="006A608F">
              <w:rPr>
                <w:rFonts w:ascii="Trebuchet MS" w:eastAsiaTheme="minorHAnsi" w:hAnsi="Trebuchet MS"/>
                <w:sz w:val="22"/>
                <w:szCs w:val="22"/>
                <w:lang w:val="en-US"/>
              </w:rPr>
              <w:t>plătitorul</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rezident</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în</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România</w:t>
            </w:r>
            <w:proofErr w:type="spellEnd"/>
            <w:r w:rsidRPr="006A608F">
              <w:rPr>
                <w:rFonts w:ascii="Trebuchet MS" w:eastAsiaTheme="minorHAnsi" w:hAnsi="Trebuchet MS"/>
                <w:sz w:val="22"/>
                <w:szCs w:val="22"/>
                <w:lang w:val="en-US"/>
              </w:rPr>
              <w:t xml:space="preserve">, care </w:t>
            </w:r>
            <w:proofErr w:type="spellStart"/>
            <w:r w:rsidRPr="006A608F">
              <w:rPr>
                <w:rFonts w:ascii="Trebuchet MS" w:eastAsiaTheme="minorHAnsi" w:hAnsi="Trebuchet MS"/>
                <w:sz w:val="22"/>
                <w:szCs w:val="22"/>
                <w:lang w:val="en-US"/>
              </w:rPr>
              <w:t>consideră</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că</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impozitarea</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într</w:t>
            </w:r>
            <w:proofErr w:type="spellEnd"/>
            <w:r w:rsidRPr="006A608F">
              <w:rPr>
                <w:rFonts w:ascii="Trebuchet MS" w:eastAsiaTheme="minorHAnsi" w:hAnsi="Trebuchet MS"/>
                <w:sz w:val="22"/>
                <w:szCs w:val="22"/>
                <w:lang w:val="en-US"/>
              </w:rPr>
              <w:t xml:space="preserve">-un alt stat </w:t>
            </w:r>
            <w:proofErr w:type="spellStart"/>
            <w:r w:rsidRPr="006A608F">
              <w:rPr>
                <w:rFonts w:ascii="Trebuchet MS" w:eastAsiaTheme="minorHAnsi" w:hAnsi="Trebuchet MS"/>
                <w:sz w:val="22"/>
                <w:szCs w:val="22"/>
                <w:lang w:val="en-US"/>
              </w:rPr>
              <w:t>contractant</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semnatar</w:t>
            </w:r>
            <w:proofErr w:type="spellEnd"/>
            <w:r w:rsidRPr="006A608F">
              <w:rPr>
                <w:rFonts w:ascii="Trebuchet MS" w:eastAsiaTheme="minorHAnsi" w:hAnsi="Trebuchet MS"/>
                <w:sz w:val="22"/>
                <w:szCs w:val="22"/>
                <w:lang w:val="en-US"/>
              </w:rPr>
              <w:t xml:space="preserve"> al </w:t>
            </w:r>
            <w:proofErr w:type="spellStart"/>
            <w:r w:rsidRPr="006A608F">
              <w:rPr>
                <w:rFonts w:ascii="Trebuchet MS" w:eastAsiaTheme="minorHAnsi" w:hAnsi="Trebuchet MS"/>
                <w:sz w:val="22"/>
                <w:szCs w:val="22"/>
                <w:lang w:val="en-US"/>
              </w:rPr>
              <w:t>unei</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convenţii</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sau</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acord</w:t>
            </w:r>
            <w:proofErr w:type="spellEnd"/>
            <w:r w:rsidRPr="006A608F">
              <w:rPr>
                <w:rFonts w:ascii="Trebuchet MS" w:eastAsiaTheme="minorHAnsi" w:hAnsi="Trebuchet MS"/>
                <w:sz w:val="22"/>
                <w:szCs w:val="22"/>
                <w:lang w:val="en-US"/>
              </w:rPr>
              <w:t xml:space="preserve"> de </w:t>
            </w:r>
            <w:proofErr w:type="spellStart"/>
            <w:r w:rsidRPr="006A608F">
              <w:rPr>
                <w:rFonts w:ascii="Trebuchet MS" w:eastAsiaTheme="minorHAnsi" w:hAnsi="Trebuchet MS"/>
                <w:sz w:val="22"/>
                <w:szCs w:val="22"/>
                <w:lang w:val="en-US"/>
              </w:rPr>
              <w:t>evitare</w:t>
            </w:r>
            <w:proofErr w:type="spellEnd"/>
            <w:r w:rsidRPr="006A608F">
              <w:rPr>
                <w:rFonts w:ascii="Trebuchet MS" w:eastAsiaTheme="minorHAnsi" w:hAnsi="Trebuchet MS"/>
                <w:sz w:val="22"/>
                <w:szCs w:val="22"/>
                <w:lang w:val="en-US"/>
              </w:rPr>
              <w:t xml:space="preserve"> a </w:t>
            </w:r>
            <w:proofErr w:type="spellStart"/>
            <w:r w:rsidRPr="006A608F">
              <w:rPr>
                <w:rFonts w:ascii="Trebuchet MS" w:eastAsiaTheme="minorHAnsi" w:hAnsi="Trebuchet MS"/>
                <w:sz w:val="22"/>
                <w:szCs w:val="22"/>
                <w:lang w:val="en-US"/>
              </w:rPr>
              <w:t>dublei</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impuneri</w:t>
            </w:r>
            <w:proofErr w:type="spellEnd"/>
            <w:r w:rsidRPr="006A608F">
              <w:rPr>
                <w:rFonts w:ascii="Trebuchet MS" w:eastAsiaTheme="minorHAnsi" w:hAnsi="Trebuchet MS"/>
                <w:sz w:val="22"/>
                <w:szCs w:val="22"/>
                <w:lang w:val="en-US"/>
              </w:rPr>
              <w:t xml:space="preserve"> cu </w:t>
            </w:r>
            <w:proofErr w:type="spellStart"/>
            <w:r w:rsidRPr="006A608F">
              <w:rPr>
                <w:rFonts w:ascii="Trebuchet MS" w:eastAsiaTheme="minorHAnsi" w:hAnsi="Trebuchet MS"/>
                <w:sz w:val="22"/>
                <w:szCs w:val="22"/>
                <w:lang w:val="en-US"/>
              </w:rPr>
              <w:t>România</w:t>
            </w:r>
            <w:proofErr w:type="spellEnd"/>
            <w:r w:rsidRPr="006A608F">
              <w:rPr>
                <w:rFonts w:ascii="Trebuchet MS" w:eastAsiaTheme="minorHAnsi" w:hAnsi="Trebuchet MS"/>
                <w:sz w:val="22"/>
                <w:szCs w:val="22"/>
                <w:lang w:val="en-US"/>
              </w:rPr>
              <w:t xml:space="preserve"> nu </w:t>
            </w:r>
            <w:proofErr w:type="spellStart"/>
            <w:r w:rsidRPr="006A608F">
              <w:rPr>
                <w:rFonts w:ascii="Trebuchet MS" w:eastAsiaTheme="minorHAnsi" w:hAnsi="Trebuchet MS"/>
                <w:sz w:val="22"/>
                <w:szCs w:val="22"/>
                <w:lang w:val="en-US"/>
              </w:rPr>
              <w:t>este</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conformă</w:t>
            </w:r>
            <w:proofErr w:type="spellEnd"/>
            <w:r w:rsidRPr="006A608F">
              <w:rPr>
                <w:rFonts w:ascii="Trebuchet MS" w:eastAsiaTheme="minorHAnsi" w:hAnsi="Trebuchet MS"/>
                <w:sz w:val="22"/>
                <w:szCs w:val="22"/>
                <w:lang w:val="en-US"/>
              </w:rPr>
              <w:t xml:space="preserve"> cu </w:t>
            </w:r>
            <w:proofErr w:type="spellStart"/>
            <w:r w:rsidRPr="006A608F">
              <w:rPr>
                <w:rFonts w:ascii="Trebuchet MS" w:eastAsiaTheme="minorHAnsi" w:hAnsi="Trebuchet MS"/>
                <w:sz w:val="22"/>
                <w:szCs w:val="22"/>
                <w:lang w:val="en-US"/>
              </w:rPr>
              <w:t>prevederile</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convenţiei</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ori</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acordului</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respectiv</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poate</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solicita</w:t>
            </w:r>
            <w:proofErr w:type="spellEnd"/>
            <w:r w:rsidRPr="006A608F">
              <w:rPr>
                <w:rFonts w:ascii="Trebuchet MS" w:eastAsiaTheme="minorHAnsi" w:hAnsi="Trebuchet MS"/>
                <w:sz w:val="22"/>
                <w:szCs w:val="22"/>
                <w:lang w:val="en-US"/>
              </w:rPr>
              <w:t xml:space="preserve"> A.N.A.F. </w:t>
            </w:r>
            <w:proofErr w:type="spellStart"/>
            <w:r w:rsidRPr="006A608F">
              <w:rPr>
                <w:rFonts w:ascii="Trebuchet MS" w:eastAsiaTheme="minorHAnsi" w:hAnsi="Trebuchet MS"/>
                <w:sz w:val="22"/>
                <w:szCs w:val="22"/>
                <w:lang w:val="en-US"/>
              </w:rPr>
              <w:t>iniţierea</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unei</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proceduri</w:t>
            </w:r>
            <w:proofErr w:type="spellEnd"/>
            <w:r w:rsidRPr="006A608F">
              <w:rPr>
                <w:rFonts w:ascii="Trebuchet MS" w:eastAsiaTheme="minorHAnsi" w:hAnsi="Trebuchet MS"/>
                <w:sz w:val="22"/>
                <w:szCs w:val="22"/>
                <w:lang w:val="en-US"/>
              </w:rPr>
              <w:t xml:space="preserve"> </w:t>
            </w:r>
            <w:proofErr w:type="spellStart"/>
            <w:r w:rsidRPr="006A608F">
              <w:rPr>
                <w:rFonts w:ascii="Trebuchet MS" w:eastAsiaTheme="minorHAnsi" w:hAnsi="Trebuchet MS"/>
                <w:sz w:val="22"/>
                <w:szCs w:val="22"/>
                <w:lang w:val="en-US"/>
              </w:rPr>
              <w:t>amiabile</w:t>
            </w:r>
            <w:proofErr w:type="spellEnd"/>
            <w:r w:rsidRPr="006A608F">
              <w:rPr>
                <w:rFonts w:ascii="Trebuchet MS" w:eastAsiaTheme="minorHAnsi" w:hAnsi="Trebuchet MS"/>
                <w:sz w:val="22"/>
                <w:szCs w:val="22"/>
                <w:lang w:val="en-US"/>
              </w:rPr>
              <w:t>.</w:t>
            </w:r>
          </w:p>
          <w:p w14:paraId="04B43648" w14:textId="7AD5E833" w:rsidR="00964F05" w:rsidRPr="00964F05" w:rsidRDefault="00964F05" w:rsidP="006A608F">
            <w:pPr>
              <w:jc w:val="both"/>
              <w:rPr>
                <w:rFonts w:ascii="Trebuchet MS" w:hAnsi="Trebuchet MS" w:cs="Segoe UI"/>
                <w:b/>
                <w:bCs/>
                <w:iCs/>
                <w:sz w:val="22"/>
                <w:szCs w:val="22"/>
              </w:rPr>
            </w:pPr>
            <w:r w:rsidRPr="006A608F">
              <w:rPr>
                <w:rFonts w:ascii="Trebuchet MS" w:eastAsiaTheme="minorHAnsi" w:hAnsi="Trebuchet MS"/>
                <w:sz w:val="22"/>
                <w:szCs w:val="22"/>
                <w:lang w:val="en-US"/>
              </w:rPr>
              <w:t xml:space="preserve">2. În prezent </w:t>
            </w:r>
            <w:r w:rsidRPr="006A608F">
              <w:rPr>
                <w:rFonts w:ascii="Trebuchet MS" w:hAnsi="Trebuchet MS"/>
                <w:sz w:val="22"/>
                <w:szCs w:val="22"/>
              </w:rPr>
              <w:t xml:space="preserve">un contribuabil, în baza </w:t>
            </w:r>
            <w:r w:rsidRPr="006A608F">
              <w:rPr>
                <w:rFonts w:ascii="Trebuchet MS" w:hAnsi="Trebuchet MS"/>
                <w:color w:val="00201F"/>
                <w:sz w:val="22"/>
                <w:szCs w:val="22"/>
              </w:rPr>
              <w:t>unei convenții sau a unui acord de evitare a dublei impuneri</w:t>
            </w:r>
            <w:r w:rsidRPr="006A608F">
              <w:rPr>
                <w:rFonts w:ascii="Trebuchet MS" w:hAnsi="Trebuchet MS"/>
                <w:sz w:val="22"/>
                <w:szCs w:val="22"/>
              </w:rPr>
              <w:t xml:space="preserve"> poate face o cerere de inițiere a unei proceduri amiabile către autoritatea competentă din statul în care este rezident.</w:t>
            </w:r>
          </w:p>
          <w:p w14:paraId="7DBAC2B4" w14:textId="77777777" w:rsidR="00964F05" w:rsidRDefault="00964F05" w:rsidP="00E339F8">
            <w:pPr>
              <w:widowControl w:val="0"/>
              <w:ind w:right="-40"/>
              <w:jc w:val="both"/>
              <w:rPr>
                <w:rFonts w:ascii="Trebuchet MS" w:hAnsi="Trebuchet MS"/>
                <w:sz w:val="22"/>
                <w:szCs w:val="22"/>
              </w:rPr>
            </w:pPr>
          </w:p>
          <w:p w14:paraId="34FEC59E" w14:textId="0B2751D9" w:rsidR="00E339F8" w:rsidRPr="00D64D6E" w:rsidRDefault="00964F05" w:rsidP="00E339F8">
            <w:pPr>
              <w:widowControl w:val="0"/>
              <w:ind w:right="-40"/>
              <w:jc w:val="both"/>
              <w:rPr>
                <w:sz w:val="22"/>
                <w:szCs w:val="22"/>
              </w:rPr>
            </w:pPr>
            <w:r>
              <w:rPr>
                <w:rFonts w:ascii="Trebuchet MS" w:hAnsi="Trebuchet MS"/>
                <w:sz w:val="22"/>
                <w:szCs w:val="22"/>
              </w:rPr>
              <w:t>II</w:t>
            </w:r>
            <w:r w:rsidR="00BE4FBB">
              <w:rPr>
                <w:rFonts w:ascii="Trebuchet MS" w:hAnsi="Trebuchet MS"/>
                <w:sz w:val="22"/>
                <w:szCs w:val="22"/>
              </w:rPr>
              <w:t>I</w:t>
            </w:r>
            <w:r>
              <w:rPr>
                <w:rFonts w:ascii="Trebuchet MS" w:hAnsi="Trebuchet MS"/>
                <w:sz w:val="22"/>
                <w:szCs w:val="22"/>
              </w:rPr>
              <w:t>.</w:t>
            </w:r>
            <w:r w:rsidR="00E339F8" w:rsidRPr="00D64D6E">
              <w:rPr>
                <w:rFonts w:ascii="Trebuchet MS" w:hAnsi="Trebuchet MS"/>
                <w:sz w:val="22"/>
                <w:szCs w:val="22"/>
              </w:rPr>
              <w:t>În prezent statele membre fac schimb de informații fiscale pentru a reuși să își protejeze bazele de impozitare naționale și să combată încercările de evaziune fiscală. Deși domeniul schimbului automat de informații s-a tot extins în ultimii ani (raportarea conturilor financiare, raportarea deciziilor fiscale anticipate, raportarea aranjamentelor transfrontaliere etc.), acesta poate fi îmbunătățit.</w:t>
            </w:r>
          </w:p>
          <w:p w14:paraId="1246292E" w14:textId="7B91A51B" w:rsidR="00E339F8" w:rsidRPr="00D64D6E" w:rsidRDefault="00E339F8" w:rsidP="00E339F8">
            <w:pPr>
              <w:widowControl w:val="0"/>
              <w:ind w:right="-40"/>
              <w:jc w:val="both"/>
              <w:rPr>
                <w:sz w:val="22"/>
                <w:szCs w:val="22"/>
              </w:rPr>
            </w:pPr>
            <w:r w:rsidRPr="00D64D6E">
              <w:rPr>
                <w:rFonts w:ascii="Trebuchet MS" w:hAnsi="Trebuchet MS"/>
                <w:sz w:val="22"/>
                <w:szCs w:val="22"/>
              </w:rPr>
              <w:t>Statelor membre le este din ce în ce mai greu să își protejeze bazele fiscale naționale împotriva eroziunii, pe măsură ce modalitățile de furnizare a serviciilor și de vânzare a bunurilor au evoluat în ultimii ani și profită deseori de mobilitatea sporită atât a capitalului, cât și a persoa</w:t>
            </w:r>
            <w:r w:rsidR="00D64D6E" w:rsidRPr="00D64D6E">
              <w:rPr>
                <w:rFonts w:ascii="Trebuchet MS" w:hAnsi="Trebuchet MS"/>
                <w:sz w:val="22"/>
                <w:szCs w:val="22"/>
              </w:rPr>
              <w:t>nelor în cadrul pieței interne.</w:t>
            </w:r>
            <w:r w:rsidRPr="00D64D6E">
              <w:rPr>
                <w:rFonts w:ascii="Trebuchet MS" w:hAnsi="Trebuchet MS"/>
                <w:sz w:val="22"/>
                <w:szCs w:val="22"/>
              </w:rPr>
              <w:t xml:space="preserve"> De asemenea, digitalizarea economiei a avansat rapid în ultimii ani. În plus, dimensiunea transfrontalieră a serviciilor oferite prin utilizarea platformelor digitale a creat un mediu complex, în care punerea în aplicare și garantarea respectării normelor fiscale poate fi dificilă. Normele fiscale nu sunt întotdeauna respectate și valoarea veniturilor neraportate este semnificativă. Administrațiile fiscale ale statelor membre nu dețin informații suficiente pentru a evalua și a controla în mod corect venitul brut realizat în țara lor din activități comerciale desfășurate prin intermediul platformelor digitale. Acest aspect ridică probleme deosebite atunci când venitul sau suma impozabilă circulă prin platforme digitale stabilite în altă jurisdicție.</w:t>
            </w:r>
            <w:r>
              <w:rPr>
                <w:rFonts w:ascii="Trebuchet MS" w:hAnsi="Trebuchet MS"/>
              </w:rPr>
              <w:tab/>
            </w:r>
          </w:p>
          <w:p w14:paraId="28A681D5" w14:textId="77777777" w:rsidR="00E339F8" w:rsidRPr="00D64D6E" w:rsidRDefault="00E339F8" w:rsidP="00E339F8">
            <w:pPr>
              <w:widowControl w:val="0"/>
              <w:ind w:right="-40"/>
              <w:jc w:val="both"/>
              <w:rPr>
                <w:sz w:val="22"/>
                <w:szCs w:val="22"/>
              </w:rPr>
            </w:pPr>
            <w:r w:rsidRPr="00D64D6E">
              <w:rPr>
                <w:rFonts w:ascii="Trebuchet MS" w:hAnsi="Trebuchet MS"/>
                <w:sz w:val="22"/>
                <w:szCs w:val="22"/>
              </w:rPr>
              <w:lastRenderedPageBreak/>
              <w:t>Având în vedere că cea mai mare parte a veniturilor sau a sumelor impozabile realizate de vânzători pe platformele digitale circulă transfrontalier, raportarea informațiilor referitoare la activitatea relevantă ar avea rezultate pozitive suplimentare dacă informațiile respective ar fi comunicate și statelor membre care ar fi eligibile să impoziteze venitul realizat. În special, schimbul automat de informații între autoritățile fiscale este esențial pentru a pune la dispoziția acestor autorități fiscale informațiile care le sunt necesare pentru a putea evalua corect impozitele pe venit sau profit și taxa pe valoarea adăugată (TVA) datorate.</w:t>
            </w:r>
          </w:p>
          <w:p w14:paraId="36D6ECC9" w14:textId="25F279A8" w:rsidR="00E339F8" w:rsidRPr="00D64D6E" w:rsidRDefault="00E339F8" w:rsidP="00E339F8">
            <w:pPr>
              <w:widowControl w:val="0"/>
              <w:ind w:right="-40"/>
              <w:jc w:val="both"/>
            </w:pPr>
            <w:r w:rsidRPr="00D64D6E">
              <w:rPr>
                <w:rFonts w:ascii="Trebuchet MS" w:hAnsi="Trebuchet MS"/>
                <w:sz w:val="22"/>
                <w:szCs w:val="22"/>
              </w:rPr>
              <w:t>Un astfel de schimb de informații ar conduce, în esență, la sisteme de impozitare mai eficiente, respectiv la diminuarea riscului de evitare a obligațiilor fiscale de către vânzătorii care obțin venituri prin intermediul platformelor online</w:t>
            </w:r>
            <w:r>
              <w:rPr>
                <w:rFonts w:ascii="Trebuchet MS" w:hAnsi="Trebuchet MS"/>
              </w:rPr>
              <w:t>.</w:t>
            </w:r>
          </w:p>
          <w:p w14:paraId="6E469A1B" w14:textId="27CF7EAC" w:rsidR="00826146" w:rsidRPr="0072764A" w:rsidRDefault="00E339F8" w:rsidP="00E339F8">
            <w:pPr>
              <w:spacing w:line="276" w:lineRule="auto"/>
              <w:jc w:val="both"/>
              <w:rPr>
                <w:rFonts w:ascii="Trebuchet MS" w:hAnsi="Trebuchet MS" w:cs="Segoe UI"/>
                <w:iCs/>
                <w:sz w:val="22"/>
                <w:szCs w:val="22"/>
              </w:rPr>
            </w:pPr>
            <w:r w:rsidRPr="0072764A">
              <w:rPr>
                <w:rFonts w:ascii="Trebuchet MS" w:hAnsi="Trebuchet MS"/>
                <w:sz w:val="22"/>
                <w:szCs w:val="22"/>
              </w:rPr>
              <w:t>Așadar, pentru a garanta un mediu economic predictibil și favorabil investițiilor, precum şi pentru a crea pârghii prin care statele membre să ia măsuri pentru combatere</w:t>
            </w:r>
            <w:r w:rsidR="0072764A" w:rsidRPr="0072764A">
              <w:rPr>
                <w:rFonts w:ascii="Trebuchet MS" w:hAnsi="Trebuchet MS"/>
                <w:sz w:val="22"/>
                <w:szCs w:val="22"/>
              </w:rPr>
              <w:t xml:space="preserve">a eludării legislației fiscale </w:t>
            </w:r>
            <w:r w:rsidRPr="0072764A">
              <w:rPr>
                <w:rFonts w:ascii="Trebuchet MS" w:hAnsi="Trebuchet MS"/>
                <w:sz w:val="22"/>
                <w:szCs w:val="22"/>
              </w:rPr>
              <w:t>din Uniunea Europeană, a fost adoptată Directiva 514/2021 prin care se extinde domeniul schimbului automat de informații la raportarea veniturilor obținute prin intermediul platformelor digitale.</w:t>
            </w:r>
          </w:p>
        </w:tc>
      </w:tr>
      <w:tr w:rsidR="00E339F8" w14:paraId="7A38DD4D" w14:textId="77777777">
        <w:trPr>
          <w:trHeight w:val="841"/>
        </w:trPr>
        <w:tc>
          <w:tcPr>
            <w:tcW w:w="10490" w:type="dxa"/>
          </w:tcPr>
          <w:p w14:paraId="02C5AB62" w14:textId="0675CB59" w:rsidR="00E339F8" w:rsidRDefault="00E339F8" w:rsidP="00DE744B">
            <w:pPr>
              <w:spacing w:line="276" w:lineRule="auto"/>
              <w:jc w:val="both"/>
              <w:rPr>
                <w:rFonts w:ascii="Trebuchet MS" w:hAnsi="Trebuchet MS" w:cs="Arial"/>
                <w:b/>
                <w:bCs/>
                <w:iCs/>
                <w:sz w:val="22"/>
                <w:szCs w:val="22"/>
              </w:rPr>
            </w:pPr>
            <w:r w:rsidRPr="008534E2">
              <w:rPr>
                <w:rFonts w:ascii="Trebuchet MS" w:hAnsi="Trebuchet MS" w:cs="Arial"/>
                <w:b/>
                <w:bCs/>
                <w:iCs/>
                <w:sz w:val="22"/>
                <w:szCs w:val="22"/>
              </w:rPr>
              <w:lastRenderedPageBreak/>
              <w:t>2.3 Schimbări preconizate</w:t>
            </w:r>
          </w:p>
          <w:p w14:paraId="7006C103" w14:textId="75D8FB18" w:rsidR="00290AAE" w:rsidRDefault="00290AAE" w:rsidP="006A608F">
            <w:pPr>
              <w:jc w:val="both"/>
              <w:rPr>
                <w:rFonts w:ascii="Trebuchet MS" w:hAnsi="Trebuchet MS" w:cs="Arial"/>
                <w:b/>
                <w:bCs/>
                <w:iCs/>
                <w:sz w:val="22"/>
                <w:szCs w:val="22"/>
              </w:rPr>
            </w:pPr>
            <w:r>
              <w:rPr>
                <w:rFonts w:ascii="Trebuchet MS" w:hAnsi="Trebuchet MS" w:cs="Arial"/>
                <w:b/>
                <w:bCs/>
                <w:iCs/>
                <w:sz w:val="22"/>
                <w:szCs w:val="22"/>
              </w:rPr>
              <w:t xml:space="preserve">I. </w:t>
            </w:r>
            <w:r w:rsidRPr="006A608F">
              <w:rPr>
                <w:rFonts w:ascii="Trebuchet MS" w:hAnsi="Trebuchet MS" w:cs="Arial"/>
                <w:bCs/>
                <w:iCs/>
                <w:sz w:val="22"/>
                <w:szCs w:val="22"/>
              </w:rPr>
              <w:t xml:space="preserve">Se propune modificarea art. 62 alin.(5) și (6) </w:t>
            </w:r>
            <w:r w:rsidR="00FA4639">
              <w:rPr>
                <w:rFonts w:ascii="Trebuchet MS" w:hAnsi="Trebuchet MS" w:cs="Arial"/>
                <w:bCs/>
                <w:iCs/>
                <w:sz w:val="22"/>
                <w:szCs w:val="22"/>
              </w:rPr>
              <w:t>Codul de procedură fiscală a</w:t>
            </w:r>
            <w:r w:rsidRPr="006A608F">
              <w:rPr>
                <w:rFonts w:ascii="Trebuchet MS" w:hAnsi="Trebuchet MS" w:cs="Arial"/>
                <w:bCs/>
                <w:iCs/>
                <w:sz w:val="22"/>
                <w:szCs w:val="22"/>
              </w:rPr>
              <w:t xml:space="preserve">stfel încât Agenția Națională de Administrare Fiscală să poată efectua verificări și controale în vederea respectării de către instituțiile financiare raportoare a procedurilor de raportare şi de diligenţă fiscală prevăzute în anexele 1 și 2 şi a procedurilor de conformare prevăzute în anexa I la Acordul FATCA, precum și pentru a monitoriza </w:t>
            </w:r>
            <w:r w:rsidR="00C22D92" w:rsidRPr="006A608F">
              <w:rPr>
                <w:rFonts w:ascii="Trebuchet MS" w:hAnsi="Trebuchet MS" w:cs="Arial"/>
                <w:bCs/>
                <w:iCs/>
                <w:sz w:val="22"/>
                <w:szCs w:val="22"/>
              </w:rPr>
              <w:t>I</w:t>
            </w:r>
            <w:r w:rsidRPr="006A608F">
              <w:rPr>
                <w:rFonts w:ascii="Trebuchet MS" w:hAnsi="Trebuchet MS" w:cs="Arial"/>
                <w:bCs/>
                <w:iCs/>
                <w:sz w:val="22"/>
                <w:szCs w:val="22"/>
              </w:rPr>
              <w:t xml:space="preserve">nstituţiile </w:t>
            </w:r>
            <w:r w:rsidR="00C22D92" w:rsidRPr="006A608F">
              <w:rPr>
                <w:rFonts w:ascii="Trebuchet MS" w:hAnsi="Trebuchet MS" w:cs="Arial"/>
                <w:bCs/>
                <w:iCs/>
                <w:sz w:val="22"/>
                <w:szCs w:val="22"/>
              </w:rPr>
              <w:t>F</w:t>
            </w:r>
            <w:r w:rsidRPr="006A608F">
              <w:rPr>
                <w:rFonts w:ascii="Trebuchet MS" w:hAnsi="Trebuchet MS" w:cs="Arial"/>
                <w:bCs/>
                <w:iCs/>
                <w:sz w:val="22"/>
                <w:szCs w:val="22"/>
              </w:rPr>
              <w:t xml:space="preserve">inanciare </w:t>
            </w:r>
            <w:r w:rsidR="00C22D92" w:rsidRPr="006A608F">
              <w:rPr>
                <w:rFonts w:ascii="Trebuchet MS" w:hAnsi="Trebuchet MS" w:cs="Arial"/>
                <w:bCs/>
                <w:iCs/>
                <w:sz w:val="22"/>
                <w:szCs w:val="22"/>
              </w:rPr>
              <w:t>R</w:t>
            </w:r>
            <w:r w:rsidRPr="006A608F">
              <w:rPr>
                <w:rFonts w:ascii="Trebuchet MS" w:hAnsi="Trebuchet MS" w:cs="Arial"/>
                <w:bCs/>
                <w:iCs/>
                <w:sz w:val="22"/>
                <w:szCs w:val="22"/>
              </w:rPr>
              <w:t xml:space="preserve">aportoare în cazul în care sunt raportate conturi nedocumentate. De asemenea, se propune ca, în situația în care sunt identificate </w:t>
            </w:r>
            <w:r w:rsidR="00C22D92" w:rsidRPr="006A608F">
              <w:rPr>
                <w:rFonts w:ascii="Trebuchet MS" w:hAnsi="Trebuchet MS" w:cs="Arial"/>
                <w:bCs/>
                <w:iCs/>
                <w:sz w:val="22"/>
                <w:szCs w:val="22"/>
              </w:rPr>
              <w:t>I</w:t>
            </w:r>
            <w:r w:rsidRPr="006A608F">
              <w:rPr>
                <w:rFonts w:ascii="Trebuchet MS" w:hAnsi="Trebuchet MS" w:cs="Arial"/>
                <w:bCs/>
                <w:iCs/>
                <w:sz w:val="22"/>
                <w:szCs w:val="22"/>
              </w:rPr>
              <w:t xml:space="preserve">nstituții </w:t>
            </w:r>
            <w:r w:rsidR="00C22D92" w:rsidRPr="006A608F">
              <w:rPr>
                <w:rFonts w:ascii="Trebuchet MS" w:hAnsi="Trebuchet MS" w:cs="Arial"/>
                <w:bCs/>
                <w:iCs/>
                <w:sz w:val="22"/>
                <w:szCs w:val="22"/>
              </w:rPr>
              <w:t>F</w:t>
            </w:r>
            <w:r w:rsidRPr="006A608F">
              <w:rPr>
                <w:rFonts w:ascii="Trebuchet MS" w:hAnsi="Trebuchet MS" w:cs="Arial"/>
                <w:bCs/>
                <w:iCs/>
                <w:sz w:val="22"/>
                <w:szCs w:val="22"/>
              </w:rPr>
              <w:t xml:space="preserve">inanciare </w:t>
            </w:r>
            <w:r w:rsidR="00C22D92" w:rsidRPr="006A608F">
              <w:rPr>
                <w:rFonts w:ascii="Trebuchet MS" w:hAnsi="Trebuchet MS" w:cs="Arial"/>
                <w:bCs/>
                <w:iCs/>
                <w:sz w:val="22"/>
                <w:szCs w:val="22"/>
              </w:rPr>
              <w:t>N</w:t>
            </w:r>
            <w:r w:rsidRPr="006A608F">
              <w:rPr>
                <w:rFonts w:ascii="Trebuchet MS" w:hAnsi="Trebuchet MS" w:cs="Arial"/>
                <w:bCs/>
                <w:iCs/>
                <w:sz w:val="22"/>
                <w:szCs w:val="22"/>
              </w:rPr>
              <w:t>onraportoare sau conturi excluse care prezintă un risc scăzut de a fi utilizate pentru evaziune fiscală, Agenția Națională de Administrare Fiscală să aprobe prin ordin al președintelui A.N.A.F. proceduri administrative pentru a se asigura că acestea prezintă, în continuare, un risc scăzut de a fi utilizate pentru evaziune fiscală.</w:t>
            </w:r>
          </w:p>
          <w:p w14:paraId="638C5F08" w14:textId="2DB8A424" w:rsidR="00964F05" w:rsidRPr="006A608F" w:rsidRDefault="00964F05" w:rsidP="00DE744B">
            <w:pPr>
              <w:spacing w:line="276" w:lineRule="auto"/>
              <w:jc w:val="both"/>
              <w:rPr>
                <w:rFonts w:ascii="Trebuchet MS" w:hAnsi="Trebuchet MS" w:cs="Arial"/>
                <w:bCs/>
                <w:iCs/>
                <w:sz w:val="22"/>
                <w:szCs w:val="22"/>
              </w:rPr>
            </w:pPr>
            <w:r w:rsidRPr="006A608F">
              <w:rPr>
                <w:rFonts w:ascii="Trebuchet MS" w:hAnsi="Trebuchet MS" w:cs="Arial"/>
                <w:bCs/>
                <w:iCs/>
                <w:sz w:val="22"/>
                <w:szCs w:val="22"/>
              </w:rPr>
              <w:t>I</w:t>
            </w:r>
            <w:r w:rsidR="00290AAE">
              <w:rPr>
                <w:rFonts w:ascii="Trebuchet MS" w:hAnsi="Trebuchet MS" w:cs="Arial"/>
                <w:bCs/>
                <w:iCs/>
                <w:sz w:val="22"/>
                <w:szCs w:val="22"/>
              </w:rPr>
              <w:t>I</w:t>
            </w:r>
            <w:r w:rsidRPr="006A608F">
              <w:rPr>
                <w:rFonts w:ascii="Trebuchet MS" w:hAnsi="Trebuchet MS" w:cs="Arial"/>
                <w:bCs/>
                <w:iCs/>
                <w:sz w:val="22"/>
                <w:szCs w:val="22"/>
              </w:rPr>
              <w:t>. Procedura amiabilă</w:t>
            </w:r>
          </w:p>
          <w:p w14:paraId="71E7AF3B" w14:textId="77777777" w:rsidR="00964F05" w:rsidRPr="006A608F" w:rsidRDefault="00964F05" w:rsidP="006A608F">
            <w:pPr>
              <w:jc w:val="both"/>
              <w:rPr>
                <w:rFonts w:ascii="Trebuchet MS" w:hAnsi="Trebuchet MS"/>
                <w:color w:val="0B0C0C"/>
                <w:sz w:val="22"/>
                <w:szCs w:val="22"/>
              </w:rPr>
            </w:pPr>
            <w:r w:rsidRPr="006A608F">
              <w:rPr>
                <w:rFonts w:ascii="Trebuchet MS" w:hAnsi="Trebuchet MS"/>
                <w:sz w:val="22"/>
                <w:szCs w:val="22"/>
              </w:rPr>
              <w:t xml:space="preserve">1. Crearea cadrului legal prin art. 282 alin. (1), prin care un contribuabil, în baza </w:t>
            </w:r>
            <w:r w:rsidRPr="006A608F">
              <w:rPr>
                <w:rFonts w:ascii="Trebuchet MS" w:hAnsi="Trebuchet MS"/>
                <w:color w:val="00201F"/>
                <w:sz w:val="22"/>
                <w:szCs w:val="22"/>
              </w:rPr>
              <w:t>unei convenții sau a unui acord de evitare a dublei impuneri</w:t>
            </w:r>
            <w:r w:rsidRPr="006A608F">
              <w:rPr>
                <w:rFonts w:ascii="Trebuchet MS" w:hAnsi="Trebuchet MS"/>
                <w:sz w:val="22"/>
                <w:szCs w:val="22"/>
              </w:rPr>
              <w:t xml:space="preserve"> poate face o cerere de inițiere a unei proceduri amiabile către autoritățile competente din oricare dintre statele semnatare </w:t>
            </w:r>
            <w:r w:rsidRPr="006A608F">
              <w:rPr>
                <w:rFonts w:ascii="Trebuchet MS" w:hAnsi="Trebuchet MS"/>
                <w:color w:val="00201F"/>
                <w:sz w:val="22"/>
                <w:szCs w:val="22"/>
              </w:rPr>
              <w:t xml:space="preserve">ale unei convenții sau a unui </w:t>
            </w:r>
            <w:r w:rsidRPr="006A608F">
              <w:rPr>
                <w:rFonts w:ascii="Trebuchet MS" w:hAnsi="Trebuchet MS"/>
                <w:sz w:val="22"/>
                <w:szCs w:val="22"/>
              </w:rPr>
              <w:t xml:space="preserve">acord. Prin această prevedere România a pus în aplicare standardul minim cu privire la articolul 16 ”Procedură amiabilă” din </w:t>
            </w:r>
            <w:r w:rsidRPr="006A608F">
              <w:rPr>
                <w:rFonts w:ascii="Trebuchet MS" w:hAnsi="Trebuchet MS"/>
                <w:color w:val="0B0C0C"/>
                <w:sz w:val="22"/>
                <w:szCs w:val="22"/>
              </w:rPr>
              <w:t xml:space="preserve">Convenția multilaterală pentru implementarea în cadrul tratatelor fiscale a măsurilor legate de prevenirea erodării bazei impozabile și a transferului profiturilor. </w:t>
            </w:r>
          </w:p>
          <w:p w14:paraId="603A4C4A" w14:textId="77777777" w:rsidR="00964F05" w:rsidRPr="006A608F" w:rsidRDefault="00964F05" w:rsidP="006A608F">
            <w:pPr>
              <w:jc w:val="both"/>
              <w:rPr>
                <w:rFonts w:ascii="Trebuchet MS" w:hAnsi="Trebuchet MS"/>
                <w:color w:val="00201F"/>
                <w:sz w:val="22"/>
                <w:szCs w:val="22"/>
              </w:rPr>
            </w:pPr>
            <w:r w:rsidRPr="006A608F">
              <w:rPr>
                <w:rFonts w:ascii="Trebuchet MS" w:hAnsi="Trebuchet MS"/>
                <w:sz w:val="22"/>
                <w:szCs w:val="22"/>
              </w:rPr>
              <w:t>2. C</w:t>
            </w:r>
            <w:r w:rsidRPr="006A608F">
              <w:rPr>
                <w:rFonts w:ascii="Trebuchet MS" w:hAnsi="Trebuchet MS"/>
                <w:color w:val="00201F"/>
                <w:sz w:val="22"/>
                <w:szCs w:val="22"/>
              </w:rPr>
              <w:t xml:space="preserve">ompletarea cadrului legal al </w:t>
            </w:r>
            <w:r w:rsidRPr="006A608F">
              <w:rPr>
                <w:rFonts w:ascii="Trebuchet MS" w:hAnsi="Trebuchet MS"/>
                <w:sz w:val="22"/>
                <w:szCs w:val="22"/>
              </w:rPr>
              <w:t xml:space="preserve">art. 282 alin.(2) cu prevederea potrivit căreia </w:t>
            </w:r>
            <w:r w:rsidRPr="006A608F">
              <w:rPr>
                <w:rFonts w:ascii="Trebuchet MS" w:hAnsi="Trebuchet MS"/>
                <w:color w:val="00201F"/>
                <w:sz w:val="22"/>
                <w:szCs w:val="22"/>
              </w:rPr>
              <w:t xml:space="preserve">o solicitare de inițiere a unei proceduri amiabile poate fi făcută de un contribuabil și atunci când acesta consideră că acțiunile autorității fiscale române sau acțiunile ambelor autorități fiscale ale statelor semnatare ale unei convenții sau a unui acord de evitare a dublei impuneri au ca rezultat sau vor avea ca rezultat o impozitare care nu este în conformitate cu respectiva convenție sau respectivul acord. </w:t>
            </w:r>
          </w:p>
          <w:p w14:paraId="4DA9D7E0" w14:textId="5A9DC6C4" w:rsidR="00964F05" w:rsidRPr="006A608F" w:rsidRDefault="00964F05" w:rsidP="006A608F">
            <w:pPr>
              <w:jc w:val="both"/>
              <w:rPr>
                <w:rFonts w:ascii="Trebuchet MS" w:hAnsi="Trebuchet MS"/>
                <w:color w:val="FF0000"/>
                <w:sz w:val="22"/>
                <w:szCs w:val="22"/>
              </w:rPr>
            </w:pPr>
            <w:r w:rsidRPr="006A608F">
              <w:rPr>
                <w:rFonts w:ascii="Trebuchet MS" w:hAnsi="Trebuchet MS"/>
                <w:color w:val="00201F"/>
                <w:sz w:val="22"/>
                <w:szCs w:val="22"/>
              </w:rPr>
              <w:t>3. E</w:t>
            </w:r>
            <w:r w:rsidRPr="006A608F">
              <w:rPr>
                <w:rFonts w:ascii="Trebuchet MS" w:hAnsi="Trebuchet MS"/>
                <w:sz w:val="22"/>
                <w:szCs w:val="22"/>
              </w:rPr>
              <w:t>liminarea sintagmei ”plătitorul rezident în România” întrucât, conform prevederilor unei convenții sau acord de evitare a dublei impuneri, doar contribuabilul afectat de impunerea neconformă cu tratatul fiscal, nu și plătitorul rezident în România este persoana îndreptățită să deschidă o procedură amiabilă.</w:t>
            </w:r>
          </w:p>
          <w:p w14:paraId="07CB9A73" w14:textId="2025B138" w:rsidR="00964F05" w:rsidRPr="006A608F" w:rsidRDefault="00964F05" w:rsidP="006A608F">
            <w:pPr>
              <w:jc w:val="both"/>
              <w:rPr>
                <w:rFonts w:ascii="Trebuchet MS" w:hAnsi="Trebuchet MS"/>
                <w:sz w:val="22"/>
                <w:szCs w:val="22"/>
              </w:rPr>
            </w:pPr>
            <w:r w:rsidRPr="006A608F">
              <w:rPr>
                <w:rFonts w:ascii="Trebuchet MS" w:hAnsi="Trebuchet MS"/>
                <w:sz w:val="22"/>
                <w:szCs w:val="22"/>
              </w:rPr>
              <w:t xml:space="preserve">4. Crearea cadrului legal prin art. 282 alin. (3), prin care autoritatea competentă din România, în cazul în care consideră că obiecția contribuabilului nu este admisibilă sau este nejustificată, notifică sau implementează un proces de consultare bilaterală care permite autorității competente </w:t>
            </w:r>
            <w:r w:rsidR="004044A8">
              <w:rPr>
                <w:rFonts w:ascii="Trebuchet MS" w:hAnsi="Trebuchet MS"/>
                <w:sz w:val="22"/>
                <w:szCs w:val="22"/>
              </w:rPr>
              <w:t>a celuilalt stat</w:t>
            </w:r>
            <w:r w:rsidRPr="006A608F">
              <w:rPr>
                <w:rFonts w:ascii="Trebuchet MS" w:hAnsi="Trebuchet MS"/>
                <w:sz w:val="22"/>
                <w:szCs w:val="22"/>
              </w:rPr>
              <w:t xml:space="preserve"> să își prezinte opiniile cu privire la obiectul procedurii amiabile.</w:t>
            </w:r>
          </w:p>
          <w:p w14:paraId="28F0DABC" w14:textId="185A090C" w:rsidR="00964F05" w:rsidRPr="006A608F" w:rsidRDefault="00964F05" w:rsidP="006A608F">
            <w:pPr>
              <w:autoSpaceDE w:val="0"/>
              <w:autoSpaceDN w:val="0"/>
              <w:adjustRightInd w:val="0"/>
              <w:jc w:val="both"/>
              <w:rPr>
                <w:rFonts w:ascii="Trebuchet MS" w:hAnsi="Trebuchet MS"/>
                <w:sz w:val="22"/>
                <w:szCs w:val="22"/>
              </w:rPr>
            </w:pPr>
            <w:r w:rsidRPr="006A608F">
              <w:rPr>
                <w:rFonts w:ascii="Trebuchet MS" w:hAnsi="Trebuchet MS"/>
                <w:sz w:val="22"/>
                <w:szCs w:val="22"/>
              </w:rPr>
              <w:t>5. Crearea cadrului legal prin art. 282 alin. (5), prin care se stabilește că în România, autoritatea competentă în realizarea pr</w:t>
            </w:r>
            <w:r w:rsidR="006A608F">
              <w:rPr>
                <w:rFonts w:ascii="Trebuchet MS" w:hAnsi="Trebuchet MS"/>
                <w:sz w:val="22"/>
                <w:szCs w:val="22"/>
              </w:rPr>
              <w:t>ocedurii amiabile este A.N.A.F.</w:t>
            </w:r>
          </w:p>
          <w:p w14:paraId="17F88403" w14:textId="2977A7F5" w:rsidR="003B3971" w:rsidRDefault="00964F05" w:rsidP="006A608F">
            <w:pPr>
              <w:autoSpaceDE w:val="0"/>
              <w:autoSpaceDN w:val="0"/>
              <w:adjustRightInd w:val="0"/>
              <w:jc w:val="both"/>
              <w:rPr>
                <w:rFonts w:ascii="Trebuchet MS" w:hAnsi="Trebuchet MS"/>
                <w:sz w:val="22"/>
                <w:szCs w:val="22"/>
              </w:rPr>
            </w:pPr>
            <w:r w:rsidRPr="006A608F">
              <w:rPr>
                <w:rFonts w:ascii="Trebuchet MS" w:hAnsi="Trebuchet MS"/>
                <w:sz w:val="22"/>
                <w:szCs w:val="22"/>
              </w:rPr>
              <w:t>6. Crearea cadrului legal prin art. 282 alin. (8), prin care se instituie reguli tranzitorii cu privire la aplicarea prevederilor articolului 282 pentru cererile de inițiere a procedurilor amiabile depuse după data la care sunt aplicabile prevederile Conven</w:t>
            </w:r>
            <w:r w:rsidR="00D93834">
              <w:rPr>
                <w:rFonts w:ascii="Trebuchet MS" w:hAnsi="Trebuchet MS"/>
                <w:sz w:val="22"/>
                <w:szCs w:val="22"/>
              </w:rPr>
              <w:t>ț</w:t>
            </w:r>
            <w:r w:rsidRPr="006A608F">
              <w:rPr>
                <w:rFonts w:ascii="Trebuchet MS" w:hAnsi="Trebuchet MS"/>
                <w:sz w:val="22"/>
                <w:szCs w:val="22"/>
              </w:rPr>
              <w:t>iei multilaterale pentru implementarea în cadrul tratatelor fiscale a măsurilor legate de prevenirea erodării bazei impozabile şi a transferului profiturilor, deschisă spre semnare şi semnată de România la Paris la 7 iunie 2017,</w:t>
            </w:r>
            <w:r w:rsidRPr="006A608F">
              <w:rPr>
                <w:rFonts w:ascii="Trebuchet MS" w:hAnsi="Trebuchet MS"/>
                <w:sz w:val="22"/>
                <w:szCs w:val="22"/>
                <w:lang w:val="en-US"/>
              </w:rPr>
              <w:t xml:space="preserve"> ratificată prin </w:t>
            </w:r>
            <w:r w:rsidRPr="006A608F">
              <w:rPr>
                <w:rFonts w:ascii="Trebuchet MS" w:hAnsi="Trebuchet MS"/>
                <w:sz w:val="22"/>
                <w:szCs w:val="22"/>
              </w:rPr>
              <w:t>Legea nr. 5/2022 sau ulterior acelei date pentru convențiile sau acordurile de evitare a dublei impuneri încheiate de România cu alte state care prevăd posibilitatea ca un contribuabil să își poată prezenta cazul autorității competente a oricăruia dintre statele contractant.</w:t>
            </w:r>
          </w:p>
          <w:p w14:paraId="6E732A75" w14:textId="77777777" w:rsidR="006A608F" w:rsidRPr="006A608F" w:rsidRDefault="006A608F" w:rsidP="006A608F">
            <w:pPr>
              <w:autoSpaceDE w:val="0"/>
              <w:autoSpaceDN w:val="0"/>
              <w:adjustRightInd w:val="0"/>
              <w:jc w:val="both"/>
              <w:rPr>
                <w:rFonts w:ascii="Trebuchet MS" w:hAnsi="Trebuchet MS"/>
                <w:sz w:val="22"/>
                <w:szCs w:val="22"/>
              </w:rPr>
            </w:pPr>
          </w:p>
          <w:p w14:paraId="744C8D77" w14:textId="19C41BCB" w:rsidR="00E339F8" w:rsidRPr="0072764A" w:rsidRDefault="00964F05" w:rsidP="00E339F8">
            <w:pPr>
              <w:widowControl w:val="0"/>
              <w:ind w:right="-40"/>
              <w:jc w:val="both"/>
              <w:rPr>
                <w:sz w:val="22"/>
                <w:szCs w:val="22"/>
              </w:rPr>
            </w:pPr>
            <w:r>
              <w:rPr>
                <w:rFonts w:ascii="Trebuchet MS" w:hAnsi="Trebuchet MS"/>
                <w:sz w:val="22"/>
                <w:szCs w:val="22"/>
              </w:rPr>
              <w:t>II</w:t>
            </w:r>
            <w:r w:rsidR="00290AAE">
              <w:rPr>
                <w:rFonts w:ascii="Trebuchet MS" w:hAnsi="Trebuchet MS"/>
                <w:sz w:val="22"/>
                <w:szCs w:val="22"/>
              </w:rPr>
              <w:t>I</w:t>
            </w:r>
            <w:r>
              <w:rPr>
                <w:rFonts w:ascii="Trebuchet MS" w:hAnsi="Trebuchet MS"/>
                <w:sz w:val="22"/>
                <w:szCs w:val="22"/>
              </w:rPr>
              <w:t>.</w:t>
            </w:r>
            <w:r w:rsidR="006A608F">
              <w:rPr>
                <w:rFonts w:ascii="Trebuchet MS" w:hAnsi="Trebuchet MS"/>
                <w:sz w:val="22"/>
                <w:szCs w:val="22"/>
              </w:rPr>
              <w:t xml:space="preserve"> </w:t>
            </w:r>
            <w:r w:rsidR="00E339F8" w:rsidRPr="0072764A">
              <w:rPr>
                <w:rFonts w:ascii="Trebuchet MS" w:hAnsi="Trebuchet MS"/>
                <w:sz w:val="22"/>
                <w:szCs w:val="22"/>
              </w:rPr>
              <w:t xml:space="preserve">Directiva </w:t>
            </w:r>
            <w:r w:rsidR="00914DAC">
              <w:rPr>
                <w:rFonts w:ascii="Trebuchet MS" w:hAnsi="Trebuchet MS"/>
                <w:sz w:val="22"/>
                <w:szCs w:val="22"/>
              </w:rPr>
              <w:t xml:space="preserve">(UE) </w:t>
            </w:r>
            <w:r w:rsidR="00E339F8" w:rsidRPr="0072764A">
              <w:rPr>
                <w:rFonts w:ascii="Trebuchet MS" w:hAnsi="Trebuchet MS"/>
                <w:sz w:val="22"/>
                <w:szCs w:val="22"/>
              </w:rPr>
              <w:t>2021</w:t>
            </w:r>
            <w:r w:rsidR="00D93834">
              <w:rPr>
                <w:rFonts w:ascii="Trebuchet MS" w:hAnsi="Trebuchet MS"/>
                <w:sz w:val="22"/>
                <w:szCs w:val="22"/>
              </w:rPr>
              <w:t>/514</w:t>
            </w:r>
            <w:r w:rsidR="00E339F8" w:rsidRPr="0072764A">
              <w:rPr>
                <w:rFonts w:ascii="Trebuchet MS" w:hAnsi="Trebuchet MS"/>
                <w:sz w:val="22"/>
                <w:szCs w:val="22"/>
              </w:rPr>
              <w:t xml:space="preserve"> are drept scop modificarea primei directive ce vizează cooperarea administrativă, </w:t>
            </w:r>
            <w:r w:rsidR="00D93834">
              <w:rPr>
                <w:rFonts w:ascii="Trebuchet MS" w:hAnsi="Trebuchet MS"/>
                <w:sz w:val="22"/>
                <w:szCs w:val="22"/>
              </w:rPr>
              <w:t>D</w:t>
            </w:r>
            <w:r w:rsidR="00E339F8" w:rsidRPr="0072764A">
              <w:rPr>
                <w:rFonts w:ascii="Trebuchet MS" w:hAnsi="Trebuchet MS"/>
                <w:sz w:val="22"/>
                <w:szCs w:val="22"/>
              </w:rPr>
              <w:t>irectiva 2011</w:t>
            </w:r>
            <w:r w:rsidR="00D93834">
              <w:rPr>
                <w:rFonts w:ascii="Trebuchet MS" w:hAnsi="Trebuchet MS"/>
                <w:sz w:val="22"/>
                <w:szCs w:val="22"/>
              </w:rPr>
              <w:t>/16</w:t>
            </w:r>
            <w:r w:rsidR="00E339F8" w:rsidRPr="0072764A">
              <w:rPr>
                <w:rFonts w:ascii="Trebuchet MS" w:hAnsi="Trebuchet MS"/>
                <w:sz w:val="22"/>
                <w:szCs w:val="22"/>
              </w:rPr>
              <w:t>- DAC, precum și extinderea domeniului schimbului automat de informații la veniturile realizate prin intermediul platformelor online astfel încât administrațiile fiscale ale statelor membre să beneficieze de un nou instrument prin care:</w:t>
            </w:r>
          </w:p>
          <w:p w14:paraId="37DBF748" w14:textId="77777777" w:rsidR="00E339F8" w:rsidRPr="0072764A" w:rsidRDefault="00E339F8" w:rsidP="00E339F8">
            <w:pPr>
              <w:widowControl w:val="0"/>
              <w:ind w:right="-40"/>
              <w:jc w:val="both"/>
              <w:rPr>
                <w:sz w:val="22"/>
                <w:szCs w:val="22"/>
              </w:rPr>
            </w:pPr>
            <w:r w:rsidRPr="0072764A">
              <w:rPr>
                <w:rFonts w:ascii="Trebuchet MS" w:hAnsi="Trebuchet MS"/>
                <w:sz w:val="22"/>
                <w:szCs w:val="22"/>
              </w:rPr>
              <w:t>- să identifice în mod corect contribuabilii care încearcă să ascundă capitaluri reprezentate de venituri pentru eludarea obligațiilor fiscale;</w:t>
            </w:r>
          </w:p>
          <w:p w14:paraId="0CAA690A" w14:textId="77777777" w:rsidR="00E339F8" w:rsidRPr="0072764A" w:rsidRDefault="00E339F8" w:rsidP="00E339F8">
            <w:pPr>
              <w:widowControl w:val="0"/>
              <w:ind w:right="-40"/>
              <w:jc w:val="both"/>
              <w:rPr>
                <w:sz w:val="22"/>
                <w:szCs w:val="22"/>
              </w:rPr>
            </w:pPr>
            <w:r w:rsidRPr="0072764A">
              <w:rPr>
                <w:rFonts w:ascii="Trebuchet MS" w:hAnsi="Trebuchet MS"/>
                <w:sz w:val="22"/>
                <w:szCs w:val="22"/>
              </w:rPr>
              <w:t>- să își administreze și să asigure punerea în aplicare a legislației lor fiscale atât în situații transfrontaliere cât și în cazul tranzacțiilor interne derulate prin intermediul platformelor online;</w:t>
            </w:r>
          </w:p>
          <w:p w14:paraId="008C5CFC" w14:textId="77777777" w:rsidR="00E339F8" w:rsidRPr="0072764A" w:rsidRDefault="00E339F8" w:rsidP="00E339F8">
            <w:pPr>
              <w:widowControl w:val="0"/>
              <w:ind w:right="-40"/>
              <w:jc w:val="both"/>
              <w:rPr>
                <w:sz w:val="22"/>
                <w:szCs w:val="22"/>
              </w:rPr>
            </w:pPr>
            <w:r w:rsidRPr="0072764A">
              <w:rPr>
                <w:rFonts w:ascii="Trebuchet MS" w:hAnsi="Trebuchet MS"/>
                <w:sz w:val="22"/>
                <w:szCs w:val="22"/>
              </w:rPr>
              <w:t>- să evalueze probabilitatea comiterii de evaziuni fiscale; și</w:t>
            </w:r>
          </w:p>
          <w:p w14:paraId="23D7D371" w14:textId="77777777" w:rsidR="00E339F8" w:rsidRPr="0072764A" w:rsidRDefault="00E339F8" w:rsidP="00E339F8">
            <w:pPr>
              <w:widowControl w:val="0"/>
              <w:ind w:right="-40"/>
              <w:jc w:val="both"/>
              <w:rPr>
                <w:sz w:val="22"/>
                <w:szCs w:val="22"/>
              </w:rPr>
            </w:pPr>
            <w:r w:rsidRPr="0072764A">
              <w:rPr>
                <w:rFonts w:ascii="Trebuchet MS" w:hAnsi="Trebuchet MS"/>
                <w:sz w:val="22"/>
                <w:szCs w:val="22"/>
              </w:rPr>
              <w:t>- să evite investigații suplimentare care presupun costuri administrative foarte mari.</w:t>
            </w:r>
          </w:p>
          <w:p w14:paraId="43353CD4" w14:textId="5DDFBC83" w:rsidR="00E339F8" w:rsidRPr="0072764A" w:rsidRDefault="00E339F8" w:rsidP="00E339F8">
            <w:pPr>
              <w:widowControl w:val="0"/>
              <w:jc w:val="both"/>
              <w:rPr>
                <w:sz w:val="22"/>
                <w:szCs w:val="22"/>
              </w:rPr>
            </w:pPr>
            <w:r w:rsidRPr="0072764A">
              <w:rPr>
                <w:rFonts w:ascii="Trebuchet MS" w:hAnsi="Trebuchet MS" w:cs="Arial"/>
                <w:bCs/>
                <w:iCs/>
                <w:sz w:val="22"/>
                <w:szCs w:val="22"/>
              </w:rPr>
              <w:t>Prezenta ordonanță aduce câteva modificări ce vizează îmbunătățirea normelor privind schimbul de informații prin:</w:t>
            </w:r>
          </w:p>
          <w:p w14:paraId="6C6B6CB0" w14:textId="77777777" w:rsidR="00E339F8" w:rsidRPr="0072764A" w:rsidRDefault="00E339F8" w:rsidP="00E339F8">
            <w:pPr>
              <w:widowControl w:val="0"/>
              <w:jc w:val="both"/>
              <w:rPr>
                <w:sz w:val="22"/>
                <w:szCs w:val="22"/>
              </w:rPr>
            </w:pPr>
            <w:r w:rsidRPr="0072764A">
              <w:rPr>
                <w:rFonts w:ascii="Trebuchet MS" w:hAnsi="Trebuchet MS" w:cs="Arial"/>
                <w:bCs/>
                <w:iCs/>
                <w:sz w:val="22"/>
                <w:szCs w:val="22"/>
              </w:rPr>
              <w:t>- introducerea unui nou articol, articolul 288^1, prin care se definește termenul de relevanță previzibilă în cazul schimbului de informații la cerere astfel încât să se prevină respingerea nejustificată a cererilor din partea statelor membre, precum și pentru a se asigura securitatea juridică atât pentru administrațiile fiscale, cât și pentru contribuabili; de asemenea, se introduce posibilitatea ca un stat membru să formuleze o cerere de informații care vizează grupuri de contribuabili care nu pot fi identificați individual, iar relevanța previzibilă a informațiilor solicitate poate fi descrisă numai pe baza unui set de caracteristici comune;</w:t>
            </w:r>
          </w:p>
          <w:p w14:paraId="70359206" w14:textId="5172689E" w:rsidR="00E339F8" w:rsidRPr="0072764A" w:rsidRDefault="00E339F8" w:rsidP="00E339F8">
            <w:pPr>
              <w:widowControl w:val="0"/>
              <w:jc w:val="both"/>
              <w:rPr>
                <w:sz w:val="22"/>
                <w:szCs w:val="22"/>
              </w:rPr>
            </w:pPr>
            <w:r w:rsidRPr="0072764A">
              <w:rPr>
                <w:rFonts w:ascii="Trebuchet MS" w:hAnsi="Trebuchet MS" w:cs="Arial"/>
                <w:bCs/>
                <w:iCs/>
                <w:sz w:val="22"/>
                <w:szCs w:val="22"/>
              </w:rPr>
              <w:t>- modificarea articolului 291 prin introducerea unei noi categorii de venituri și anume, redevențele</w:t>
            </w:r>
            <w:r w:rsidR="00CA291D">
              <w:rPr>
                <w:rFonts w:ascii="Trebuchet MS" w:hAnsi="Trebuchet MS" w:cs="Arial"/>
                <w:bCs/>
                <w:iCs/>
                <w:sz w:val="22"/>
                <w:szCs w:val="22"/>
              </w:rPr>
              <w:t>, astfel cum sunt definite la art. 257 din Codul fiscal</w:t>
            </w:r>
            <w:r w:rsidRPr="0072764A">
              <w:rPr>
                <w:rFonts w:ascii="Trebuchet MS" w:hAnsi="Trebuchet MS" w:cs="Arial"/>
                <w:bCs/>
                <w:iCs/>
                <w:sz w:val="22"/>
                <w:szCs w:val="22"/>
              </w:rPr>
              <w:t>, ce va face obiectul schimbului automat de informații.</w:t>
            </w:r>
          </w:p>
          <w:p w14:paraId="522FD435" w14:textId="7C73EC15" w:rsidR="00E339F8" w:rsidRPr="0072764A" w:rsidRDefault="00E339F8" w:rsidP="00E339F8">
            <w:pPr>
              <w:widowControl w:val="0"/>
              <w:jc w:val="both"/>
              <w:rPr>
                <w:sz w:val="22"/>
                <w:szCs w:val="22"/>
              </w:rPr>
            </w:pPr>
            <w:r w:rsidRPr="0072764A">
              <w:rPr>
                <w:rFonts w:ascii="Trebuchet MS" w:hAnsi="Trebuchet MS" w:cs="Arial"/>
                <w:bCs/>
                <w:iCs/>
                <w:sz w:val="22"/>
                <w:szCs w:val="22"/>
              </w:rPr>
              <w:t>De asemenea, principalele reglementări aduse prin actul normativ sunt cele introduse prin noul articol 291^5 care introduce obligația în sarcina operatorilor de platforme online de a raporta informații cu privire la veniturile obținute de vânzătorii raportabili prin furnizarea de activități relevante prin intermediul platformelor. Obligația de raportare ar</w:t>
            </w:r>
            <w:r w:rsidR="00FA1F6D">
              <w:rPr>
                <w:rFonts w:ascii="Trebuchet MS" w:hAnsi="Trebuchet MS" w:cs="Arial"/>
                <w:bCs/>
                <w:iCs/>
                <w:sz w:val="22"/>
                <w:szCs w:val="22"/>
              </w:rPr>
              <w:t>e</w:t>
            </w:r>
            <w:r w:rsidRPr="0072764A">
              <w:rPr>
                <w:rFonts w:ascii="Trebuchet MS" w:hAnsi="Trebuchet MS" w:cs="Arial"/>
                <w:bCs/>
                <w:iCs/>
                <w:sz w:val="22"/>
                <w:szCs w:val="22"/>
              </w:rPr>
              <w:t xml:space="preserve"> ca obiect atât activitățile transfrontaliere, cât și pe cele fără caracter transfrontalier, pentru a se asigura eficacitatea normelor de raportare, buna funcționare a pieței interne, condiții de concurență echitabile și principiul nediscriminării. În plus, o astfel de aplicare a normelor de raportare reduce sarcina administrativă care revine platformelor digitale.</w:t>
            </w:r>
          </w:p>
          <w:p w14:paraId="0FECE1FA" w14:textId="1C9F3C42" w:rsidR="00E339F8" w:rsidRPr="0072764A" w:rsidRDefault="00E339F8" w:rsidP="00E339F8">
            <w:pPr>
              <w:widowControl w:val="0"/>
              <w:jc w:val="both"/>
              <w:rPr>
                <w:sz w:val="22"/>
                <w:szCs w:val="22"/>
              </w:rPr>
            </w:pPr>
            <w:r w:rsidRPr="0072764A">
              <w:rPr>
                <w:rFonts w:ascii="Trebuchet MS" w:hAnsi="Trebuchet MS" w:cs="Arial"/>
                <w:bCs/>
                <w:iCs/>
                <w:sz w:val="22"/>
                <w:szCs w:val="22"/>
              </w:rPr>
              <w:t>Având în vedere utilizarea pe scară largă a platformelor digitale în exercitarea activităților comerciale, atât de către persoane fizice, cât și de către entități, este esențial să se asigure faptul că obligația de raportare se aplică indiferent de forma juridică a vânzătorului. Cu toate acestea, se prev</w:t>
            </w:r>
            <w:r w:rsidR="00FA1F6D">
              <w:rPr>
                <w:rFonts w:ascii="Trebuchet MS" w:hAnsi="Trebuchet MS" w:cs="Arial"/>
                <w:bCs/>
                <w:iCs/>
                <w:sz w:val="22"/>
                <w:szCs w:val="22"/>
              </w:rPr>
              <w:t>e</w:t>
            </w:r>
            <w:r w:rsidRPr="0072764A">
              <w:rPr>
                <w:rFonts w:ascii="Trebuchet MS" w:hAnsi="Trebuchet MS" w:cs="Arial"/>
                <w:bCs/>
                <w:iCs/>
                <w:sz w:val="22"/>
                <w:szCs w:val="22"/>
              </w:rPr>
              <w:t>d</w:t>
            </w:r>
            <w:r w:rsidR="00FA1F6D">
              <w:rPr>
                <w:rFonts w:ascii="Trebuchet MS" w:hAnsi="Trebuchet MS" w:cs="Arial"/>
                <w:bCs/>
                <w:iCs/>
                <w:sz w:val="22"/>
                <w:szCs w:val="22"/>
              </w:rPr>
              <w:t>e</w:t>
            </w:r>
            <w:r w:rsidRPr="0072764A">
              <w:rPr>
                <w:rFonts w:ascii="Trebuchet MS" w:hAnsi="Trebuchet MS" w:cs="Arial"/>
                <w:bCs/>
                <w:iCs/>
                <w:sz w:val="22"/>
                <w:szCs w:val="22"/>
              </w:rPr>
              <w:t xml:space="preserve"> o excepție în ceea ce privește entitățile guvernamentale, cărora nu trebui</w:t>
            </w:r>
            <w:r w:rsidR="00FA1F6D">
              <w:rPr>
                <w:rFonts w:ascii="Trebuchet MS" w:hAnsi="Trebuchet MS" w:cs="Arial"/>
                <w:bCs/>
                <w:iCs/>
                <w:sz w:val="22"/>
                <w:szCs w:val="22"/>
              </w:rPr>
              <w:t>e</w:t>
            </w:r>
            <w:r w:rsidRPr="0072764A">
              <w:rPr>
                <w:rFonts w:ascii="Trebuchet MS" w:hAnsi="Trebuchet MS" w:cs="Arial"/>
                <w:bCs/>
                <w:iCs/>
                <w:sz w:val="22"/>
                <w:szCs w:val="22"/>
              </w:rPr>
              <w:t xml:space="preserve"> să le revină obligația de raportare.</w:t>
            </w:r>
          </w:p>
          <w:p w14:paraId="33E01B2A" w14:textId="102DBC38" w:rsidR="00E339F8" w:rsidRPr="00DE744B" w:rsidRDefault="00E339F8" w:rsidP="00E339F8">
            <w:pPr>
              <w:widowControl w:val="0"/>
              <w:jc w:val="both"/>
              <w:rPr>
                <w:sz w:val="22"/>
                <w:szCs w:val="22"/>
              </w:rPr>
            </w:pPr>
            <w:r w:rsidRPr="0072764A">
              <w:rPr>
                <w:rFonts w:ascii="Trebuchet MS" w:hAnsi="Trebuchet MS" w:cs="Arial"/>
                <w:bCs/>
                <w:iCs/>
                <w:sz w:val="22"/>
                <w:szCs w:val="22"/>
              </w:rPr>
              <w:t>Raportarea veniturilor realizate prin intermediul unor astfel de activități</w:t>
            </w:r>
            <w:r w:rsidR="00FA1F6D">
              <w:rPr>
                <w:rFonts w:ascii="Trebuchet MS" w:hAnsi="Trebuchet MS" w:cs="Arial"/>
                <w:bCs/>
                <w:iCs/>
                <w:sz w:val="22"/>
                <w:szCs w:val="22"/>
              </w:rPr>
              <w:t xml:space="preserve"> va </w:t>
            </w:r>
            <w:r w:rsidRPr="0072764A">
              <w:rPr>
                <w:rFonts w:ascii="Trebuchet MS" w:hAnsi="Trebuchet MS" w:cs="Arial"/>
                <w:bCs/>
                <w:iCs/>
                <w:sz w:val="22"/>
                <w:szCs w:val="22"/>
              </w:rPr>
              <w:t>ofer</w:t>
            </w:r>
            <w:r w:rsidR="00FA1F6D">
              <w:rPr>
                <w:rFonts w:ascii="Trebuchet MS" w:hAnsi="Trebuchet MS" w:cs="Arial"/>
                <w:bCs/>
                <w:iCs/>
                <w:sz w:val="22"/>
                <w:szCs w:val="22"/>
              </w:rPr>
              <w:t>i</w:t>
            </w:r>
            <w:r w:rsidRPr="0072764A">
              <w:rPr>
                <w:rFonts w:ascii="Trebuchet MS" w:hAnsi="Trebuchet MS" w:cs="Arial"/>
                <w:bCs/>
                <w:iCs/>
                <w:sz w:val="22"/>
                <w:szCs w:val="22"/>
              </w:rPr>
              <w:t xml:space="preserve"> administrațiilor fiscale informațiile cuprinzătoare necesare pentru a evalua corect impozitul pe venit sau profit datorat.</w:t>
            </w:r>
          </w:p>
          <w:p w14:paraId="1D500A48" w14:textId="2472AA88" w:rsidR="00E339F8" w:rsidRPr="00DE744B" w:rsidRDefault="00E339F8" w:rsidP="00E339F8">
            <w:pPr>
              <w:widowControl w:val="0"/>
              <w:jc w:val="both"/>
              <w:rPr>
                <w:sz w:val="22"/>
                <w:szCs w:val="22"/>
              </w:rPr>
            </w:pPr>
            <w:r w:rsidRPr="0072764A">
              <w:rPr>
                <w:rFonts w:ascii="Trebuchet MS" w:hAnsi="Trebuchet MS" w:cs="Arial"/>
                <w:bCs/>
                <w:iCs/>
                <w:sz w:val="22"/>
                <w:szCs w:val="22"/>
              </w:rPr>
              <w:t>În interesul simplificării și al reducerii costurilor de asigurare a conformității, se solicit</w:t>
            </w:r>
            <w:r w:rsidR="00FA1F6D">
              <w:rPr>
                <w:rFonts w:ascii="Trebuchet MS" w:hAnsi="Trebuchet MS" w:cs="Arial"/>
                <w:bCs/>
                <w:iCs/>
                <w:sz w:val="22"/>
                <w:szCs w:val="22"/>
              </w:rPr>
              <w:t>ă</w:t>
            </w:r>
            <w:r w:rsidRPr="0072764A">
              <w:rPr>
                <w:rFonts w:ascii="Trebuchet MS" w:hAnsi="Trebuchet MS" w:cs="Arial"/>
                <w:bCs/>
                <w:iCs/>
                <w:sz w:val="22"/>
                <w:szCs w:val="22"/>
              </w:rPr>
              <w:t xml:space="preserve"> operatorilor de platforme să raporteze într-un singur stat membru veniturile realizate de vânzători prin utilizarea platformei digitale.</w:t>
            </w:r>
          </w:p>
          <w:p w14:paraId="22A72AA6" w14:textId="07EEF95C" w:rsidR="00E339F8" w:rsidRDefault="00E339F8" w:rsidP="00E339F8">
            <w:pPr>
              <w:widowControl w:val="0"/>
              <w:jc w:val="both"/>
            </w:pPr>
            <w:r w:rsidRPr="0072764A">
              <w:rPr>
                <w:rFonts w:ascii="Trebuchet MS" w:hAnsi="Trebuchet MS" w:cs="Arial"/>
                <w:bCs/>
                <w:iCs/>
                <w:sz w:val="22"/>
                <w:szCs w:val="22"/>
              </w:rPr>
              <w:t>Printre informațiile ce trebuie raportate de către operatorii de platforme cătr</w:t>
            </w:r>
            <w:r w:rsidR="0072764A" w:rsidRPr="0072764A">
              <w:rPr>
                <w:rFonts w:ascii="Trebuchet MS" w:hAnsi="Trebuchet MS" w:cs="Arial"/>
                <w:bCs/>
                <w:iCs/>
                <w:sz w:val="22"/>
                <w:szCs w:val="22"/>
              </w:rPr>
              <w:t>e autoritatea fiscale se numără</w:t>
            </w:r>
            <w:r w:rsidRPr="0072764A">
              <w:rPr>
                <w:rFonts w:ascii="Trebuchet MS" w:hAnsi="Trebuchet MS" w:cs="Arial"/>
                <w:bCs/>
                <w:iCs/>
                <w:sz w:val="22"/>
                <w:szCs w:val="22"/>
              </w:rPr>
              <w:t xml:space="preserve"> datele de identificare ale operatorului de platformă, iar în ceea ce privește vânzătorii raportabili vor fi furnizate datele de identificare, adresa principală, adresa fiecărui bun imobil listat în cazul închirierii bunurilor imobile, numărul de identificare fiscală, numărul de identificare în scopuri de</w:t>
            </w:r>
            <w:r w:rsidR="0072764A">
              <w:rPr>
                <w:rFonts w:ascii="Trebuchet MS" w:hAnsi="Trebuchet MS" w:cs="Arial"/>
                <w:bCs/>
                <w:iCs/>
                <w:sz w:val="22"/>
                <w:szCs w:val="22"/>
              </w:rPr>
              <w:t xml:space="preserve"> TVA,</w:t>
            </w:r>
            <w:r w:rsidRPr="0072764A">
              <w:rPr>
                <w:rFonts w:ascii="Trebuchet MS" w:hAnsi="Trebuchet MS" w:cs="Arial"/>
                <w:bCs/>
                <w:iCs/>
                <w:sz w:val="22"/>
                <w:szCs w:val="22"/>
              </w:rPr>
              <w:t xml:space="preserve"> statul de rezidență, contraprestația totală plătită etc. </w:t>
            </w:r>
          </w:p>
          <w:p w14:paraId="021BE884" w14:textId="77777777" w:rsidR="00E339F8" w:rsidRPr="0072764A" w:rsidRDefault="00E339F8" w:rsidP="006A608F">
            <w:pPr>
              <w:widowControl w:val="0"/>
              <w:jc w:val="both"/>
              <w:rPr>
                <w:rFonts w:ascii="Trebuchet MS" w:hAnsi="Trebuchet MS" w:cs="Arial"/>
                <w:bCs/>
                <w:iCs/>
                <w:sz w:val="22"/>
                <w:szCs w:val="22"/>
              </w:rPr>
            </w:pPr>
            <w:r w:rsidRPr="0072764A">
              <w:rPr>
                <w:rFonts w:ascii="Trebuchet MS" w:hAnsi="Trebuchet MS" w:cs="Arial"/>
                <w:bCs/>
                <w:iCs/>
                <w:sz w:val="22"/>
                <w:szCs w:val="22"/>
              </w:rPr>
              <w:t>Principalele activități relevante ce fac obiectul raportării sunt închirierea de bunuri imobile și spații de parcare, serviciu personal, vânzarea de bunuri și închirierea oricărui mijloc de transport.</w:t>
            </w:r>
          </w:p>
          <w:p w14:paraId="30E8CE18" w14:textId="459A62D8" w:rsidR="00D93834" w:rsidRDefault="00E339F8" w:rsidP="006A608F">
            <w:pPr>
              <w:widowControl w:val="0"/>
              <w:jc w:val="both"/>
              <w:rPr>
                <w:rFonts w:ascii="Trebuchet MS" w:hAnsi="Trebuchet MS" w:cs="Arial"/>
                <w:bCs/>
                <w:iCs/>
                <w:sz w:val="22"/>
                <w:szCs w:val="22"/>
              </w:rPr>
            </w:pPr>
            <w:r w:rsidRPr="0072764A">
              <w:rPr>
                <w:rFonts w:ascii="Trebuchet MS" w:hAnsi="Trebuchet MS" w:cs="Arial"/>
                <w:bCs/>
                <w:iCs/>
                <w:sz w:val="22"/>
                <w:szCs w:val="22"/>
              </w:rPr>
              <w:t xml:space="preserve">Având în vedere specificul și flexibilitatea platformelor digitale, obligația de raportare </w:t>
            </w:r>
            <w:r w:rsidR="00FA1F6D">
              <w:rPr>
                <w:rFonts w:ascii="Trebuchet MS" w:hAnsi="Trebuchet MS" w:cs="Arial"/>
                <w:bCs/>
                <w:iCs/>
                <w:sz w:val="22"/>
                <w:szCs w:val="22"/>
              </w:rPr>
              <w:t>le</w:t>
            </w:r>
            <w:r w:rsidRPr="0072764A">
              <w:rPr>
                <w:rFonts w:ascii="Trebuchet MS" w:hAnsi="Trebuchet MS" w:cs="Arial"/>
                <w:bCs/>
                <w:iCs/>
                <w:sz w:val="22"/>
                <w:szCs w:val="22"/>
              </w:rPr>
              <w:t xml:space="preserve"> revin</w:t>
            </w:r>
            <w:r w:rsidR="00FA1F6D">
              <w:rPr>
                <w:rFonts w:ascii="Trebuchet MS" w:hAnsi="Trebuchet MS" w:cs="Arial"/>
                <w:bCs/>
                <w:iCs/>
                <w:sz w:val="22"/>
                <w:szCs w:val="22"/>
              </w:rPr>
              <w:t>e</w:t>
            </w:r>
            <w:r w:rsidRPr="0072764A">
              <w:rPr>
                <w:rFonts w:ascii="Trebuchet MS" w:hAnsi="Trebuchet MS" w:cs="Arial"/>
                <w:bCs/>
                <w:iCs/>
                <w:sz w:val="22"/>
                <w:szCs w:val="22"/>
              </w:rPr>
              <w:t xml:space="preserve"> și operatorilor de platforme care exercită o activitate comercială în Uniune, dar care nu au rezidență fiscală, nu sunt constituiți sau administrați într-un stat membru și nici nu au sediu permanent într-un stat membru. Pentru a facilita îndeplinirea acestui obiectiv, operatorii de platforme străini trebui</w:t>
            </w:r>
            <w:r w:rsidR="00843D49">
              <w:rPr>
                <w:rFonts w:ascii="Trebuchet MS" w:hAnsi="Trebuchet MS" w:cs="Arial"/>
                <w:bCs/>
                <w:iCs/>
                <w:sz w:val="22"/>
                <w:szCs w:val="22"/>
              </w:rPr>
              <w:t>e</w:t>
            </w:r>
            <w:r w:rsidRPr="0072764A">
              <w:rPr>
                <w:rFonts w:ascii="Trebuchet MS" w:hAnsi="Trebuchet MS" w:cs="Arial"/>
                <w:bCs/>
                <w:iCs/>
                <w:sz w:val="22"/>
                <w:szCs w:val="22"/>
              </w:rPr>
              <w:t xml:space="preserve"> să se înregistreze în Uniunea Europeană și să raporteze informații într-un singur stat membru în scopul desfășurării de activități pe piața internă. În cazul în care un operator de platformă străin nu respectă procedurile de diligență și de raportare îi va fi revocată înregistrarea. După revocarea înregistrării unui operator de platformă străin, acestuia îi va rev</w:t>
            </w:r>
            <w:r w:rsidR="0072764A" w:rsidRPr="0072764A">
              <w:rPr>
                <w:rFonts w:ascii="Trebuchet MS" w:hAnsi="Trebuchet MS" w:cs="Arial"/>
                <w:bCs/>
                <w:iCs/>
                <w:sz w:val="22"/>
                <w:szCs w:val="22"/>
              </w:rPr>
              <w:t>e</w:t>
            </w:r>
            <w:r w:rsidRPr="0072764A">
              <w:rPr>
                <w:rFonts w:ascii="Trebuchet MS" w:hAnsi="Trebuchet MS" w:cs="Arial"/>
                <w:bCs/>
                <w:iCs/>
                <w:sz w:val="22"/>
                <w:szCs w:val="22"/>
              </w:rPr>
              <w:t>n</w:t>
            </w:r>
            <w:r w:rsidR="0072764A" w:rsidRPr="0072764A">
              <w:rPr>
                <w:rFonts w:ascii="Trebuchet MS" w:hAnsi="Trebuchet MS" w:cs="Arial"/>
                <w:bCs/>
                <w:iCs/>
                <w:sz w:val="22"/>
                <w:szCs w:val="22"/>
              </w:rPr>
              <w:t>i</w:t>
            </w:r>
            <w:r w:rsidRPr="0072764A">
              <w:rPr>
                <w:rFonts w:ascii="Trebuchet MS" w:hAnsi="Trebuchet MS" w:cs="Arial"/>
                <w:bCs/>
                <w:iCs/>
                <w:sz w:val="22"/>
                <w:szCs w:val="22"/>
              </w:rPr>
              <w:t xml:space="preserve"> obligația, atunci când se reînregistrează în Uniune, </w:t>
            </w:r>
            <w:r w:rsidRPr="0072764A">
              <w:rPr>
                <w:rFonts w:ascii="Trebuchet MS" w:hAnsi="Trebuchet MS" w:cs="Arial"/>
                <w:bCs/>
                <w:iCs/>
                <w:sz w:val="22"/>
                <w:szCs w:val="22"/>
              </w:rPr>
              <w:lastRenderedPageBreak/>
              <w:t xml:space="preserve">de a oferi statului membru de înregistrare garanții adecvate, cum ar fi declarații </w:t>
            </w:r>
            <w:r w:rsidR="0072764A" w:rsidRPr="0072764A">
              <w:rPr>
                <w:rFonts w:ascii="Trebuchet MS" w:hAnsi="Trebuchet MS" w:cs="Arial"/>
                <w:bCs/>
                <w:iCs/>
                <w:sz w:val="22"/>
                <w:szCs w:val="22"/>
              </w:rPr>
              <w:t>pe propria răspundere</w:t>
            </w:r>
            <w:r w:rsidRPr="0072764A">
              <w:rPr>
                <w:rFonts w:ascii="Trebuchet MS" w:hAnsi="Trebuchet MS" w:cs="Arial"/>
                <w:bCs/>
                <w:iCs/>
                <w:sz w:val="22"/>
                <w:szCs w:val="22"/>
              </w:rPr>
              <w:t xml:space="preserve"> </w:t>
            </w:r>
            <w:r w:rsidR="00235EAD">
              <w:rPr>
                <w:rFonts w:ascii="Trebuchet MS" w:hAnsi="Trebuchet MS" w:cs="Arial"/>
                <w:bCs/>
                <w:iCs/>
                <w:sz w:val="22"/>
                <w:szCs w:val="22"/>
              </w:rPr>
              <w:t>și</w:t>
            </w:r>
            <w:r w:rsidRPr="0072764A">
              <w:rPr>
                <w:rFonts w:ascii="Trebuchet MS" w:hAnsi="Trebuchet MS" w:cs="Arial"/>
                <w:bCs/>
                <w:iCs/>
                <w:sz w:val="22"/>
                <w:szCs w:val="22"/>
              </w:rPr>
              <w:t xml:space="preserve"> garanții financiare.</w:t>
            </w:r>
          </w:p>
          <w:p w14:paraId="4F56ABB1" w14:textId="3A9EFE2A" w:rsidR="00D93834" w:rsidRPr="006A608F" w:rsidRDefault="00D93834" w:rsidP="006A608F">
            <w:pPr>
              <w:widowControl w:val="0"/>
              <w:jc w:val="both"/>
              <w:rPr>
                <w:rFonts w:ascii="Trebuchet MS" w:hAnsi="Trebuchet MS" w:cs="Arial"/>
                <w:bCs/>
                <w:iCs/>
                <w:sz w:val="22"/>
                <w:szCs w:val="22"/>
              </w:rPr>
            </w:pPr>
            <w:r>
              <w:rPr>
                <w:rFonts w:ascii="Trebuchet MS" w:hAnsi="Trebuchet MS" w:cs="Arial"/>
                <w:bCs/>
                <w:iCs/>
                <w:sz w:val="22"/>
                <w:szCs w:val="22"/>
              </w:rPr>
              <w:t>De asemenea, se reglementează faptul că în cazul neîndepliniri</w:t>
            </w:r>
            <w:r w:rsidR="00C22D92">
              <w:rPr>
                <w:rFonts w:ascii="Trebuchet MS" w:hAnsi="Trebuchet MS" w:cs="Arial"/>
                <w:bCs/>
                <w:iCs/>
                <w:sz w:val="22"/>
                <w:szCs w:val="22"/>
              </w:rPr>
              <w:t>i</w:t>
            </w:r>
            <w:r>
              <w:rPr>
                <w:rFonts w:ascii="Trebuchet MS" w:hAnsi="Trebuchet MS" w:cs="Arial"/>
                <w:bCs/>
                <w:iCs/>
                <w:sz w:val="22"/>
                <w:szCs w:val="22"/>
              </w:rPr>
              <w:t xml:space="preserve"> obligației de înregistrare sau în cazul </w:t>
            </w:r>
            <w:r w:rsidR="00FA1F6D">
              <w:rPr>
                <w:rFonts w:ascii="Trebuchet MS" w:hAnsi="Trebuchet MS" w:cs="Arial"/>
                <w:bCs/>
                <w:iCs/>
                <w:sz w:val="22"/>
                <w:szCs w:val="22"/>
              </w:rPr>
              <w:t xml:space="preserve">revocării înregistrării, accesul la site-ul sau aplicația unui </w:t>
            </w:r>
            <w:r w:rsidR="00C22D92">
              <w:rPr>
                <w:rFonts w:ascii="Trebuchet MS" w:hAnsi="Trebuchet MS" w:cs="Arial"/>
                <w:bCs/>
                <w:iCs/>
                <w:sz w:val="22"/>
                <w:szCs w:val="22"/>
              </w:rPr>
              <w:t>O</w:t>
            </w:r>
            <w:r w:rsidR="00FA1F6D">
              <w:rPr>
                <w:rFonts w:ascii="Trebuchet MS" w:hAnsi="Trebuchet MS" w:cs="Arial"/>
                <w:bCs/>
                <w:iCs/>
                <w:sz w:val="22"/>
                <w:szCs w:val="22"/>
              </w:rPr>
              <w:t>perator de platformă</w:t>
            </w:r>
            <w:r w:rsidR="00C22D92">
              <w:rPr>
                <w:rFonts w:ascii="Trebuchet MS" w:hAnsi="Trebuchet MS" w:cs="Arial"/>
                <w:bCs/>
                <w:iCs/>
                <w:sz w:val="22"/>
                <w:szCs w:val="22"/>
              </w:rPr>
              <w:t xml:space="preserve"> străin</w:t>
            </w:r>
            <w:r w:rsidR="00FA1F6D">
              <w:rPr>
                <w:rFonts w:ascii="Trebuchet MS" w:hAnsi="Trebuchet MS" w:cs="Arial"/>
                <w:bCs/>
                <w:iCs/>
                <w:sz w:val="22"/>
                <w:szCs w:val="22"/>
              </w:rPr>
              <w:t xml:space="preserve">  este oprit</w:t>
            </w:r>
            <w:r w:rsidR="00C22D92">
              <w:rPr>
                <w:rFonts w:ascii="Trebuchet MS" w:hAnsi="Trebuchet MS" w:cs="Arial"/>
                <w:bCs/>
                <w:iCs/>
                <w:sz w:val="22"/>
                <w:szCs w:val="22"/>
              </w:rPr>
              <w:t xml:space="preserve"> de către furnizorii de</w:t>
            </w:r>
            <w:r w:rsidR="00C22D92" w:rsidRPr="00C22D92">
              <w:rPr>
                <w:rFonts w:ascii="Trebuchet MS" w:hAnsi="Trebuchet MS" w:cs="Arial"/>
                <w:bCs/>
                <w:iCs/>
                <w:sz w:val="22"/>
                <w:szCs w:val="22"/>
              </w:rPr>
              <w:t xml:space="preserve"> rețele sau servicii de comunicații electronice</w:t>
            </w:r>
            <w:r w:rsidR="00C22D92">
              <w:rPr>
                <w:rFonts w:ascii="Trebuchet MS" w:hAnsi="Trebuchet MS" w:cs="Arial"/>
                <w:bCs/>
                <w:iCs/>
                <w:sz w:val="22"/>
                <w:szCs w:val="22"/>
              </w:rPr>
              <w:t xml:space="preserve"> </w:t>
            </w:r>
            <w:r w:rsidR="00FA1F6D">
              <w:rPr>
                <w:rFonts w:ascii="Trebuchet MS" w:hAnsi="Trebuchet MS" w:cs="Arial"/>
                <w:bCs/>
                <w:iCs/>
                <w:sz w:val="22"/>
                <w:szCs w:val="22"/>
              </w:rPr>
              <w:t>, acesta putând fi reluat numai după îndeplinirea obligației de înregistrare sau după reînregistrare.</w:t>
            </w:r>
          </w:p>
          <w:p w14:paraId="237F7793" w14:textId="31C1DC8F" w:rsidR="00E339F8" w:rsidRPr="0072764A" w:rsidRDefault="00FA1F6D" w:rsidP="006A608F">
            <w:pPr>
              <w:widowControl w:val="0"/>
              <w:jc w:val="both"/>
              <w:rPr>
                <w:rFonts w:ascii="Trebuchet MS" w:hAnsi="Trebuchet MS" w:cs="Arial"/>
                <w:bCs/>
                <w:iCs/>
                <w:sz w:val="22"/>
                <w:szCs w:val="22"/>
              </w:rPr>
            </w:pPr>
            <w:r>
              <w:rPr>
                <w:rFonts w:ascii="Trebuchet MS" w:hAnsi="Trebuchet MS" w:cs="Arial"/>
                <w:bCs/>
                <w:iCs/>
                <w:sz w:val="22"/>
                <w:szCs w:val="22"/>
              </w:rPr>
              <w:t>Sunt s</w:t>
            </w:r>
            <w:r w:rsidR="00E339F8" w:rsidRPr="0072764A">
              <w:rPr>
                <w:rFonts w:ascii="Trebuchet MS" w:hAnsi="Trebuchet MS" w:cs="Arial"/>
                <w:bCs/>
                <w:iCs/>
                <w:sz w:val="22"/>
                <w:szCs w:val="22"/>
              </w:rPr>
              <w:t>tabil</w:t>
            </w:r>
            <w:r>
              <w:rPr>
                <w:rFonts w:ascii="Trebuchet MS" w:hAnsi="Trebuchet MS" w:cs="Arial"/>
                <w:bCs/>
                <w:iCs/>
                <w:sz w:val="22"/>
                <w:szCs w:val="22"/>
              </w:rPr>
              <w:t>ite</w:t>
            </w:r>
            <w:r w:rsidR="00E339F8" w:rsidRPr="0072764A">
              <w:rPr>
                <w:rFonts w:ascii="Trebuchet MS" w:hAnsi="Trebuchet MS" w:cs="Arial"/>
                <w:bCs/>
                <w:iCs/>
                <w:sz w:val="22"/>
                <w:szCs w:val="22"/>
              </w:rPr>
              <w:t xml:space="preserve"> măsuri care să reducă sarcina administrativă pentru operatorii de platforme străini și pentru autoritățile fiscale din statele membre, în cazurile în care există mecanisme adecvate care asigură schimbul de informații echivalente între o jurisdicție din afara Uniunii și un stat membru.</w:t>
            </w:r>
          </w:p>
          <w:p w14:paraId="6C1B1230" w14:textId="77777777" w:rsidR="00E339F8" w:rsidRPr="0072764A" w:rsidRDefault="00E339F8" w:rsidP="006A608F">
            <w:pPr>
              <w:widowControl w:val="0"/>
              <w:jc w:val="both"/>
              <w:rPr>
                <w:sz w:val="22"/>
                <w:szCs w:val="22"/>
              </w:rPr>
            </w:pPr>
            <w:r w:rsidRPr="0072764A">
              <w:rPr>
                <w:rFonts w:ascii="Trebuchet MS" w:hAnsi="Trebuchet MS" w:cs="Arial"/>
                <w:bCs/>
                <w:iCs/>
                <w:sz w:val="22"/>
                <w:szCs w:val="22"/>
              </w:rPr>
              <w:t>Prin urmare, operatorii de platformă dintr-o jurisdicție din afara Uniunii pot să raporteze informații echivalente privind vânzătorii raportabili ai statelor membre numai autorităților fiscale dintr-o jurisdicție din afara Uniunii, care, la rândul său, ar urma să transmită aceste informații administrațiilor fiscale ale statelor membre în temeiul unui acord internațional de schimb de informații încheiat între jurisdicția non-UE și statele membre. Echivalența informațiilor solicitate în temeiul articolului 291^5 și al anexei V și cele solicitate în baza unui acord internațional se realizează de către Comisia Europeană prin intermediul unor acte de punere aplicare.</w:t>
            </w:r>
          </w:p>
          <w:p w14:paraId="6595BD8C" w14:textId="77777777" w:rsidR="00E339F8" w:rsidRPr="00A473C9" w:rsidRDefault="00E339F8" w:rsidP="006A608F">
            <w:pPr>
              <w:widowControl w:val="0"/>
              <w:jc w:val="both"/>
              <w:rPr>
                <w:sz w:val="22"/>
                <w:szCs w:val="22"/>
              </w:rPr>
            </w:pPr>
            <w:r w:rsidRPr="00A473C9">
              <w:rPr>
                <w:rFonts w:ascii="Trebuchet MS" w:hAnsi="Trebuchet MS" w:cs="Arial"/>
                <w:bCs/>
                <w:iCs/>
                <w:sz w:val="22"/>
                <w:szCs w:val="22"/>
              </w:rPr>
              <w:t>În plus, se introduce un nou articol, articolul 295^1, care reglementează controalele comune realizate de autoritățile fiscale ale statelor membre. Controalele comune reprezintă un instrument suplimentar pentru cooperarea administrativă în domeniul fiscal între statele membre, prin care se completează cadrul existent și care prevede posibilitatea prezenței funcționarilor din alt stat membru în birourile administrative, a participării lor la anchete administrative, precum și a controalelor simultane. Controalele comune iau forma unor anchete administrative desfășurate în comun de autoritatea competentă din România și autoritățile competente din două sau mai multe state membre și vizează una sau mai multe persoane care sunt de interes comun sau complementar pentru autoritățile competente din România sau din statele membre respective. Constatările asupra cărora statele implicate în controlul comun sunt de acord vor fi reflectate într-un raport final și trebuie luate în considerare în cadrul instrumentelor relevante emise de autoritățile competente ale statelor membre participante.</w:t>
            </w:r>
          </w:p>
          <w:p w14:paraId="3C95A111" w14:textId="27893E96" w:rsidR="00E339F8" w:rsidRPr="00A473C9" w:rsidRDefault="00E339F8" w:rsidP="006A608F">
            <w:pPr>
              <w:widowControl w:val="0"/>
              <w:jc w:val="both"/>
              <w:rPr>
                <w:sz w:val="22"/>
                <w:szCs w:val="22"/>
              </w:rPr>
            </w:pPr>
            <w:r w:rsidRPr="00A473C9">
              <w:rPr>
                <w:rFonts w:ascii="Trebuchet MS" w:hAnsi="Trebuchet MS" w:cs="Arial"/>
                <w:bCs/>
                <w:iCs/>
                <w:sz w:val="22"/>
                <w:szCs w:val="22"/>
              </w:rPr>
              <w:t>Prin introducerea alineatelor (2^1) și (2^2) la articolului 299 se instituie  posibilitatea ca autoritatea fiscală din România sau autoritatea competentă din alt stat membru să poată stabili o listă cu alte scopuri pentru car</w:t>
            </w:r>
            <w:r w:rsidR="00A473C9" w:rsidRPr="00A473C9">
              <w:rPr>
                <w:rFonts w:ascii="Trebuchet MS" w:hAnsi="Trebuchet MS" w:cs="Arial"/>
                <w:bCs/>
                <w:iCs/>
                <w:sz w:val="22"/>
                <w:szCs w:val="22"/>
              </w:rPr>
              <w:t>e pot fi utilizate informațiile</w:t>
            </w:r>
            <w:r w:rsidRPr="00A473C9">
              <w:rPr>
                <w:rFonts w:ascii="Trebuchet MS" w:hAnsi="Trebuchet MS" w:cs="Arial"/>
                <w:bCs/>
                <w:iCs/>
                <w:sz w:val="22"/>
                <w:szCs w:val="22"/>
              </w:rPr>
              <w:t xml:space="preserve"> comunicate prin intermediul schimbului de informații.</w:t>
            </w:r>
          </w:p>
          <w:p w14:paraId="5350D0A8" w14:textId="13C1BFD7" w:rsidR="00E339F8" w:rsidRDefault="00E339F8" w:rsidP="006A608F">
            <w:pPr>
              <w:widowControl w:val="0"/>
              <w:jc w:val="both"/>
            </w:pPr>
            <w:r w:rsidRPr="00A473C9">
              <w:rPr>
                <w:rFonts w:ascii="Trebuchet MS" w:hAnsi="Trebuchet MS" w:cs="Arial"/>
                <w:bCs/>
                <w:iCs/>
                <w:sz w:val="22"/>
                <w:szCs w:val="22"/>
              </w:rPr>
              <w:t>De asemenea, prin modificarea articolului 308 se dorește îmbunătățirea normelor privind protecția datelor cu caracter personal în cazul schimbului automat de informații. În cadrul acestui articol se stabilește procedura pe care trebuie să o urmeze statele membre și Comisia în cazul unei încălcări a securității datelor într-un stat membru, precum și în cazurile în care încălcarea are loc în cadrul</w:t>
            </w:r>
            <w:r w:rsidR="00A473C9" w:rsidRPr="00A473C9">
              <w:rPr>
                <w:rFonts w:ascii="Trebuchet MS" w:hAnsi="Trebuchet MS" w:cs="Arial"/>
                <w:bCs/>
                <w:iCs/>
                <w:sz w:val="22"/>
                <w:szCs w:val="22"/>
              </w:rPr>
              <w:t xml:space="preserve"> platformei comune bazate pe rețeaua comună de comunicații</w:t>
            </w:r>
            <w:r w:rsidRPr="00A473C9">
              <w:rPr>
                <w:rFonts w:ascii="Trebuchet MS" w:hAnsi="Trebuchet MS" w:cs="Arial"/>
                <w:bCs/>
                <w:iCs/>
                <w:sz w:val="22"/>
                <w:szCs w:val="22"/>
              </w:rPr>
              <w:t xml:space="preserve"> </w:t>
            </w:r>
            <w:r w:rsidR="00A473C9" w:rsidRPr="00A473C9">
              <w:rPr>
                <w:rFonts w:ascii="Trebuchet MS" w:hAnsi="Trebuchet MS" w:cs="Arial"/>
                <w:bCs/>
                <w:iCs/>
                <w:sz w:val="22"/>
                <w:szCs w:val="22"/>
              </w:rPr>
              <w:t>(</w:t>
            </w:r>
            <w:r w:rsidRPr="00A473C9">
              <w:rPr>
                <w:rFonts w:ascii="Trebuchet MS" w:hAnsi="Trebuchet MS" w:cs="Arial"/>
                <w:bCs/>
                <w:iCs/>
                <w:sz w:val="22"/>
                <w:szCs w:val="22"/>
              </w:rPr>
              <w:t>CCN</w:t>
            </w:r>
            <w:r w:rsidR="00A473C9" w:rsidRPr="00A473C9">
              <w:rPr>
                <w:rFonts w:ascii="Trebuchet MS" w:hAnsi="Trebuchet MS" w:cs="Arial"/>
                <w:bCs/>
                <w:iCs/>
                <w:sz w:val="22"/>
                <w:szCs w:val="22"/>
              </w:rPr>
              <w:t>)</w:t>
            </w:r>
            <w:r w:rsidRPr="00A473C9">
              <w:rPr>
                <w:rFonts w:ascii="Trebuchet MS" w:hAnsi="Trebuchet MS" w:cs="Arial"/>
                <w:bCs/>
                <w:iCs/>
                <w:sz w:val="22"/>
                <w:szCs w:val="22"/>
              </w:rPr>
              <w:t>.</w:t>
            </w:r>
            <w:r>
              <w:rPr>
                <w:rFonts w:ascii="Trebuchet MS" w:hAnsi="Trebuchet MS" w:cs="Arial"/>
                <w:bCs/>
                <w:iCs/>
              </w:rPr>
              <w:t xml:space="preserve"> </w:t>
            </w:r>
            <w:r w:rsidRPr="00A473C9">
              <w:rPr>
                <w:rFonts w:ascii="Trebuchet MS" w:hAnsi="Trebuchet MS" w:cs="Arial"/>
                <w:bCs/>
                <w:iCs/>
                <w:sz w:val="22"/>
                <w:szCs w:val="22"/>
              </w:rPr>
              <w:t>În situația în care are loc o încălcare a securității datelor în România, autoritățile competente investighează, opresc și remediază încălcarea securității datelor și solicită Comisiei Europene suspendarea accesului la CCN, dacă încălcarea securității datelor nu poate fi oprită imediat și în mod corespunzător.</w:t>
            </w:r>
            <w:r>
              <w:rPr>
                <w:rFonts w:ascii="Trebuchet MS" w:hAnsi="Trebuchet MS" w:cs="Arial"/>
                <w:bCs/>
                <w:iCs/>
              </w:rPr>
              <w:t xml:space="preserve"> </w:t>
            </w:r>
            <w:r w:rsidRPr="00A473C9">
              <w:rPr>
                <w:rFonts w:ascii="Trebuchet MS" w:hAnsi="Trebuchet MS" w:cs="Arial"/>
                <w:bCs/>
                <w:iCs/>
                <w:sz w:val="22"/>
                <w:szCs w:val="22"/>
              </w:rPr>
              <w:t>Având în vedere caracterul sensibil al datelor care ar putea face obiectul unei încălcări a securității datelor, se prev</w:t>
            </w:r>
            <w:r w:rsidR="0077206C">
              <w:rPr>
                <w:rFonts w:ascii="Trebuchet MS" w:hAnsi="Trebuchet MS" w:cs="Arial"/>
                <w:bCs/>
                <w:iCs/>
                <w:sz w:val="22"/>
                <w:szCs w:val="22"/>
              </w:rPr>
              <w:t>ă</w:t>
            </w:r>
            <w:r w:rsidRPr="00A473C9">
              <w:rPr>
                <w:rFonts w:ascii="Trebuchet MS" w:hAnsi="Trebuchet MS" w:cs="Arial"/>
                <w:bCs/>
                <w:iCs/>
                <w:sz w:val="22"/>
                <w:szCs w:val="22"/>
              </w:rPr>
              <w:t>d măsuri precum solicitarea suspendării schimbului de informații cu statul membru (statele membre) în care a avut loc încălcarea securității datelor sau suspendarea accesului la CCN pentru unul sau mai multe state membre până la remedierea încălcării securității datelor.</w:t>
            </w:r>
          </w:p>
          <w:p w14:paraId="5E61A1CF" w14:textId="77777777" w:rsidR="00E339F8" w:rsidRPr="00A3269F" w:rsidRDefault="00E339F8" w:rsidP="006A608F">
            <w:pPr>
              <w:widowControl w:val="0"/>
              <w:jc w:val="both"/>
              <w:rPr>
                <w:sz w:val="22"/>
                <w:szCs w:val="22"/>
              </w:rPr>
            </w:pPr>
            <w:r w:rsidRPr="00A3269F">
              <w:rPr>
                <w:rFonts w:ascii="Trebuchet MS" w:hAnsi="Trebuchet MS" w:cs="Arial"/>
                <w:bCs/>
                <w:iCs/>
                <w:sz w:val="22"/>
                <w:szCs w:val="22"/>
              </w:rPr>
              <w:t>Prin modificarea articolului 336 au fost introduse sancțiuni și s-a stabilit cuantumul acestora pentru a se asigura conformarea cu prevederile ordonanței. Principalele sancțiuni vizează:</w:t>
            </w:r>
          </w:p>
          <w:p w14:paraId="628967CD" w14:textId="77777777" w:rsidR="00E339F8" w:rsidRPr="00A3269F" w:rsidRDefault="00E339F8" w:rsidP="006A608F">
            <w:pPr>
              <w:widowControl w:val="0"/>
              <w:jc w:val="both"/>
              <w:rPr>
                <w:sz w:val="22"/>
                <w:szCs w:val="22"/>
              </w:rPr>
            </w:pPr>
            <w:r w:rsidRPr="00A3269F">
              <w:rPr>
                <w:rFonts w:ascii="Trebuchet MS" w:hAnsi="Trebuchet MS" w:cs="Arial"/>
                <w:bCs/>
                <w:iCs/>
                <w:sz w:val="22"/>
                <w:szCs w:val="22"/>
              </w:rPr>
              <w:t>- neraportarea, raportarea incorectă ori incompletă de către operatorii de platforme online;</w:t>
            </w:r>
          </w:p>
          <w:p w14:paraId="4C600900" w14:textId="77777777" w:rsidR="00E339F8" w:rsidRPr="00A3269F" w:rsidRDefault="00E339F8" w:rsidP="006A608F">
            <w:pPr>
              <w:widowControl w:val="0"/>
              <w:jc w:val="both"/>
              <w:rPr>
                <w:sz w:val="22"/>
                <w:szCs w:val="22"/>
              </w:rPr>
            </w:pPr>
            <w:r w:rsidRPr="00A3269F">
              <w:rPr>
                <w:rFonts w:ascii="Trebuchet MS" w:hAnsi="Trebuchet MS" w:cs="Arial"/>
                <w:bCs/>
                <w:iCs/>
                <w:sz w:val="22"/>
                <w:szCs w:val="22"/>
              </w:rPr>
              <w:t>- nerespectarea de către operatorii de platformă a procedurilor de diligență fiscală și de raportare;</w:t>
            </w:r>
          </w:p>
          <w:p w14:paraId="1B462390" w14:textId="77777777" w:rsidR="00E339F8" w:rsidRPr="00A3269F" w:rsidRDefault="00E339F8" w:rsidP="006A608F">
            <w:pPr>
              <w:widowControl w:val="0"/>
              <w:jc w:val="both"/>
              <w:rPr>
                <w:sz w:val="22"/>
                <w:szCs w:val="22"/>
              </w:rPr>
            </w:pPr>
            <w:r w:rsidRPr="00A3269F">
              <w:rPr>
                <w:rFonts w:ascii="Trebuchet MS" w:hAnsi="Trebuchet MS" w:cs="Arial"/>
                <w:bCs/>
                <w:iCs/>
                <w:sz w:val="22"/>
                <w:szCs w:val="22"/>
              </w:rPr>
              <w:t>- nerespectarea obligației de înregistrare în Uniunea Europeană de către operatorii de platformă străini;</w:t>
            </w:r>
          </w:p>
          <w:p w14:paraId="6CCF07A1" w14:textId="01D5B3F7" w:rsidR="00E339F8" w:rsidRPr="00A3269F" w:rsidRDefault="00E339F8" w:rsidP="006A608F">
            <w:pPr>
              <w:widowControl w:val="0"/>
              <w:jc w:val="both"/>
              <w:rPr>
                <w:sz w:val="22"/>
                <w:szCs w:val="22"/>
              </w:rPr>
            </w:pPr>
            <w:r w:rsidRPr="00A3269F">
              <w:rPr>
                <w:rFonts w:ascii="Trebuchet MS" w:hAnsi="Trebuchet MS" w:cs="Arial"/>
                <w:bCs/>
                <w:iCs/>
                <w:sz w:val="22"/>
                <w:szCs w:val="22"/>
              </w:rPr>
              <w:t>- nerespectarea de către operatorii de platformă UE și non-UE a obligației de păstrare a evidenței electronice privind măsurile întreprinse pentru conformarea cu prevederile ordonanței;</w:t>
            </w:r>
          </w:p>
          <w:p w14:paraId="110F3A79" w14:textId="4ECEE2A4" w:rsidR="00920D1C" w:rsidRDefault="00E339F8" w:rsidP="006A608F">
            <w:pPr>
              <w:widowControl w:val="0"/>
              <w:jc w:val="both"/>
              <w:rPr>
                <w:rFonts w:ascii="Trebuchet MS" w:hAnsi="Trebuchet MS" w:cs="Arial"/>
                <w:bCs/>
                <w:iCs/>
                <w:sz w:val="22"/>
                <w:szCs w:val="22"/>
              </w:rPr>
            </w:pPr>
            <w:r w:rsidRPr="00A3269F">
              <w:rPr>
                <w:rFonts w:ascii="Trebuchet MS" w:hAnsi="Trebuchet MS" w:cs="Arial"/>
                <w:bCs/>
                <w:iCs/>
                <w:sz w:val="22"/>
                <w:szCs w:val="22"/>
              </w:rPr>
              <w:t>- nerespectarea de către operatorii de platformă a obligației de a închide contul Vânzătorului care nu comunică informațiile prevăzute în secțiunea II, anexa V, precum și să nu îi permită acestuia să se înregistreze din nou pe Platformă sau să îi rețină plata Contraprestației către Vânzător atât timp cât Vânzătorul nu comunică informațiile solicitate</w:t>
            </w:r>
            <w:r w:rsidR="00E67788">
              <w:rPr>
                <w:rFonts w:ascii="Trebuchet MS" w:hAnsi="Trebuchet MS" w:cs="Arial"/>
                <w:bCs/>
                <w:iCs/>
                <w:sz w:val="22"/>
                <w:szCs w:val="22"/>
              </w:rPr>
              <w:t>;</w:t>
            </w:r>
          </w:p>
          <w:p w14:paraId="75A08A92" w14:textId="023A5C70" w:rsidR="00E339F8" w:rsidRDefault="00920D1C" w:rsidP="006A608F">
            <w:pPr>
              <w:widowControl w:val="0"/>
              <w:jc w:val="both"/>
              <w:rPr>
                <w:rFonts w:ascii="Trebuchet MS" w:hAnsi="Trebuchet MS" w:cs="Arial"/>
                <w:bCs/>
                <w:iCs/>
                <w:sz w:val="22"/>
                <w:szCs w:val="22"/>
              </w:rPr>
            </w:pPr>
            <w:r>
              <w:rPr>
                <w:rFonts w:ascii="Trebuchet MS" w:hAnsi="Trebuchet MS" w:cs="Arial"/>
                <w:bCs/>
                <w:iCs/>
                <w:sz w:val="22"/>
                <w:szCs w:val="22"/>
              </w:rPr>
              <w:t xml:space="preserve">- nerespectarea de către furnizorii </w:t>
            </w:r>
            <w:r w:rsidRPr="00920D1C">
              <w:rPr>
                <w:rFonts w:ascii="Trebuchet MS" w:hAnsi="Trebuchet MS" w:cs="Arial"/>
                <w:bCs/>
                <w:iCs/>
                <w:sz w:val="22"/>
                <w:szCs w:val="22"/>
              </w:rPr>
              <w:t>de rețele sau servicii de comunicații electronice</w:t>
            </w:r>
            <w:r>
              <w:rPr>
                <w:rFonts w:ascii="Trebuchet MS" w:hAnsi="Trebuchet MS" w:cs="Arial"/>
                <w:bCs/>
                <w:iCs/>
                <w:sz w:val="22"/>
                <w:szCs w:val="22"/>
              </w:rPr>
              <w:t xml:space="preserve"> a obligație</w:t>
            </w:r>
            <w:r w:rsidR="00914DAC">
              <w:rPr>
                <w:rFonts w:ascii="Trebuchet MS" w:hAnsi="Trebuchet MS" w:cs="Arial"/>
                <w:bCs/>
                <w:iCs/>
                <w:sz w:val="22"/>
                <w:szCs w:val="22"/>
              </w:rPr>
              <w:t>i</w:t>
            </w:r>
            <w:r>
              <w:rPr>
                <w:rFonts w:ascii="Trebuchet MS" w:hAnsi="Trebuchet MS" w:cs="Arial"/>
                <w:bCs/>
                <w:iCs/>
                <w:sz w:val="22"/>
                <w:szCs w:val="22"/>
              </w:rPr>
              <w:t xml:space="preserve"> de oprire </w:t>
            </w:r>
            <w:r>
              <w:rPr>
                <w:rFonts w:ascii="Trebuchet MS" w:hAnsi="Trebuchet MS" w:cs="Arial"/>
                <w:bCs/>
                <w:iCs/>
                <w:sz w:val="22"/>
                <w:szCs w:val="22"/>
              </w:rPr>
              <w:lastRenderedPageBreak/>
              <w:t>a accesului la site-ul sau aplicația operatorului de platformă care nu se înregistrează sau căruia i-a fost revocată înregistrarea, precum și în situația nerespectării obligației de restabilire a accesului în urma solicitării A.N.A.F</w:t>
            </w:r>
            <w:r w:rsidR="00E339F8" w:rsidRPr="00A3269F">
              <w:rPr>
                <w:rFonts w:ascii="Trebuchet MS" w:hAnsi="Trebuchet MS" w:cs="Arial"/>
                <w:bCs/>
                <w:iCs/>
                <w:sz w:val="22"/>
                <w:szCs w:val="22"/>
              </w:rPr>
              <w:t>.</w:t>
            </w:r>
            <w:r w:rsidR="00E67788">
              <w:rPr>
                <w:rFonts w:ascii="Trebuchet MS" w:hAnsi="Trebuchet MS" w:cs="Arial"/>
                <w:bCs/>
                <w:iCs/>
                <w:sz w:val="22"/>
                <w:szCs w:val="22"/>
              </w:rPr>
              <w:t>;</w:t>
            </w:r>
          </w:p>
          <w:p w14:paraId="22C94F39" w14:textId="02B1595B" w:rsidR="00E67788" w:rsidRDefault="00E67788" w:rsidP="006A608F">
            <w:pPr>
              <w:widowControl w:val="0"/>
              <w:jc w:val="both"/>
              <w:rPr>
                <w:rFonts w:ascii="Trebuchet MS" w:hAnsi="Trebuchet MS" w:cs="Arial"/>
                <w:bCs/>
                <w:iCs/>
                <w:sz w:val="22"/>
                <w:szCs w:val="22"/>
              </w:rPr>
            </w:pPr>
            <w:r>
              <w:rPr>
                <w:rFonts w:ascii="Trebuchet MS" w:hAnsi="Trebuchet MS" w:cs="Arial"/>
                <w:bCs/>
                <w:iCs/>
                <w:sz w:val="22"/>
                <w:szCs w:val="22"/>
              </w:rPr>
              <w:t xml:space="preserve">- </w:t>
            </w:r>
            <w:r w:rsidRPr="00E67788">
              <w:rPr>
                <w:rFonts w:ascii="Trebuchet MS" w:hAnsi="Trebuchet MS" w:cs="Arial"/>
                <w:bCs/>
                <w:iCs/>
                <w:sz w:val="22"/>
                <w:szCs w:val="22"/>
              </w:rPr>
              <w:t xml:space="preserve">împiedicarea, prin orice mijloace, de către instituțiile financiare raportoare și operatorii de platforme a verificărilor și controalelor </w:t>
            </w:r>
            <w:r>
              <w:rPr>
                <w:rFonts w:ascii="Trebuchet MS" w:hAnsi="Trebuchet MS" w:cs="Arial"/>
                <w:bCs/>
                <w:iCs/>
                <w:sz w:val="22"/>
                <w:szCs w:val="22"/>
              </w:rPr>
              <w:t>efectuate de A.N.A.F.;</w:t>
            </w:r>
          </w:p>
          <w:p w14:paraId="68BDA34A" w14:textId="00B0802C" w:rsidR="00E67788" w:rsidRDefault="00E67788" w:rsidP="006A608F">
            <w:pPr>
              <w:widowControl w:val="0"/>
              <w:jc w:val="both"/>
              <w:rPr>
                <w:rFonts w:ascii="Trebuchet MS" w:hAnsi="Trebuchet MS" w:cs="Arial"/>
                <w:bCs/>
                <w:iCs/>
                <w:sz w:val="22"/>
                <w:szCs w:val="22"/>
              </w:rPr>
            </w:pPr>
            <w:r>
              <w:rPr>
                <w:rFonts w:ascii="Trebuchet MS" w:hAnsi="Trebuchet MS" w:cs="Arial"/>
                <w:bCs/>
                <w:iCs/>
                <w:sz w:val="22"/>
                <w:szCs w:val="22"/>
              </w:rPr>
              <w:t xml:space="preserve">- </w:t>
            </w:r>
            <w:r w:rsidRPr="00E67788">
              <w:rPr>
                <w:rFonts w:ascii="Trebuchet MS" w:hAnsi="Trebuchet MS" w:cs="Arial"/>
                <w:bCs/>
                <w:iCs/>
                <w:sz w:val="22"/>
                <w:szCs w:val="22"/>
              </w:rPr>
              <w:t xml:space="preserve">raportarea de către instituțiile financiare raportoare a altor conturi decât </w:t>
            </w:r>
            <w:r>
              <w:rPr>
                <w:rFonts w:ascii="Trebuchet MS" w:hAnsi="Trebuchet MS" w:cs="Arial"/>
                <w:bCs/>
                <w:iCs/>
                <w:sz w:val="22"/>
                <w:szCs w:val="22"/>
              </w:rPr>
              <w:t>cele care fac obiectul raportării</w:t>
            </w:r>
            <w:r w:rsidR="00C60FF0">
              <w:rPr>
                <w:rFonts w:ascii="Trebuchet MS" w:hAnsi="Trebuchet MS" w:cs="Arial"/>
                <w:bCs/>
                <w:iCs/>
                <w:sz w:val="22"/>
                <w:szCs w:val="22"/>
              </w:rPr>
              <w:t>.</w:t>
            </w:r>
          </w:p>
          <w:p w14:paraId="339742E7" w14:textId="77777777" w:rsidR="006A608F" w:rsidRPr="00DE744B" w:rsidRDefault="006A608F" w:rsidP="006A608F">
            <w:pPr>
              <w:widowControl w:val="0"/>
              <w:jc w:val="both"/>
              <w:rPr>
                <w:rFonts w:ascii="Trebuchet MS" w:hAnsi="Trebuchet MS" w:cs="Arial"/>
                <w:bCs/>
                <w:iCs/>
                <w:sz w:val="22"/>
                <w:szCs w:val="22"/>
              </w:rPr>
            </w:pPr>
          </w:p>
          <w:p w14:paraId="2AF0FD79" w14:textId="77777777" w:rsidR="00E339F8" w:rsidRDefault="00E339F8" w:rsidP="00E339F8">
            <w:pPr>
              <w:widowControl w:val="0"/>
              <w:spacing w:line="276" w:lineRule="auto"/>
              <w:jc w:val="both"/>
            </w:pPr>
            <w:r w:rsidRPr="008534E2">
              <w:rPr>
                <w:rFonts w:ascii="Trebuchet MS" w:hAnsi="Trebuchet MS" w:cs="Arial"/>
                <w:b/>
                <w:bCs/>
                <w:iCs/>
                <w:sz w:val="22"/>
                <w:szCs w:val="22"/>
              </w:rPr>
              <w:t>2.4 Alte informații</w:t>
            </w:r>
          </w:p>
        </w:tc>
      </w:tr>
    </w:tbl>
    <w:p w14:paraId="728EC4B6" w14:textId="77777777" w:rsidR="00826146" w:rsidRDefault="00302192" w:rsidP="005750FB">
      <w:pPr>
        <w:spacing w:after="120"/>
        <w:rPr>
          <w:b/>
        </w:rPr>
      </w:pPr>
      <w:r>
        <w:rPr>
          <w:b/>
        </w:rPr>
        <w:lastRenderedPageBreak/>
        <w:t xml:space="preserve">      Secțiunea a 3-a </w:t>
      </w:r>
    </w:p>
    <w:p w14:paraId="6A1D7021" w14:textId="77777777" w:rsidR="00826146" w:rsidRDefault="00302192" w:rsidP="005750FB">
      <w:pPr>
        <w:spacing w:after="120"/>
        <w:ind w:firstLine="360"/>
        <w:rPr>
          <w:b/>
        </w:rPr>
      </w:pPr>
      <w:r>
        <w:rPr>
          <w:b/>
        </w:rPr>
        <w:t xml:space="preserve">Impactul socioeconomic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3"/>
      </w:tblGrid>
      <w:tr w:rsidR="00826146" w14:paraId="32646C64" w14:textId="77777777">
        <w:tc>
          <w:tcPr>
            <w:tcW w:w="10533" w:type="dxa"/>
          </w:tcPr>
          <w:p w14:paraId="06637F21" w14:textId="77777777" w:rsidR="00826146" w:rsidRDefault="00302192">
            <w:pPr>
              <w:spacing w:after="120"/>
              <w:jc w:val="both"/>
              <w:rPr>
                <w:b/>
              </w:rPr>
            </w:pPr>
            <w:r>
              <w:rPr>
                <w:b/>
              </w:rPr>
              <w:t>3.1 Descrierea generală a beneficiilor și costurilor estimate ca urmare a intrării în vigoare a actului normativ</w:t>
            </w:r>
          </w:p>
          <w:p w14:paraId="3210C000" w14:textId="77777777" w:rsidR="00826146" w:rsidRDefault="00302192">
            <w:pPr>
              <w:spacing w:after="120"/>
              <w:jc w:val="both"/>
              <w:rPr>
                <w:b/>
              </w:rPr>
            </w:pPr>
            <w:r>
              <w:rPr>
                <w:b/>
              </w:rPr>
              <w:t>3.2 Impactul social</w:t>
            </w:r>
          </w:p>
          <w:p w14:paraId="47A27D84" w14:textId="77777777" w:rsidR="00826146" w:rsidRDefault="00302192">
            <w:pPr>
              <w:spacing w:after="120"/>
              <w:jc w:val="both"/>
              <w:rPr>
                <w:bCs/>
                <w:color w:val="FF0000"/>
              </w:rPr>
            </w:pPr>
            <w:r>
              <w:rPr>
                <w:b/>
              </w:rPr>
              <w:t xml:space="preserve">3.3. Impactul asupra drepturilor și libertăților fundamentale ale omului </w:t>
            </w:r>
            <w:r>
              <w:rPr>
                <w:bCs/>
                <w:color w:val="FF0000"/>
              </w:rPr>
              <w:t xml:space="preserve">    </w:t>
            </w:r>
          </w:p>
          <w:p w14:paraId="3FB60FAA" w14:textId="77777777" w:rsidR="00826146" w:rsidRDefault="00302192">
            <w:pPr>
              <w:spacing w:after="120"/>
              <w:jc w:val="both"/>
              <w:rPr>
                <w:b/>
              </w:rPr>
            </w:pPr>
            <w:r>
              <w:rPr>
                <w:b/>
              </w:rPr>
              <w:t>3.4. Impactul macroeconomic</w:t>
            </w:r>
          </w:p>
          <w:p w14:paraId="4683B703" w14:textId="77777777" w:rsidR="00826146" w:rsidRDefault="00302192">
            <w:pPr>
              <w:spacing w:after="120"/>
              <w:jc w:val="both"/>
              <w:rPr>
                <w:b/>
                <w:color w:val="FF0000"/>
              </w:rPr>
            </w:pPr>
            <w:r>
              <w:rPr>
                <w:b/>
              </w:rPr>
              <w:t>3.4.1 Impactul asupra economiei și asupra principalilor indicatori macroeconomici</w:t>
            </w:r>
            <w:r>
              <w:rPr>
                <w:color w:val="FF0000"/>
              </w:rPr>
              <w:t xml:space="preserve">    </w:t>
            </w:r>
          </w:p>
          <w:p w14:paraId="4610C827" w14:textId="71D9962D" w:rsidR="00AA4590" w:rsidRDefault="00302192">
            <w:pPr>
              <w:spacing w:after="120"/>
              <w:jc w:val="both"/>
              <w:rPr>
                <w:color w:val="FF0000"/>
              </w:rPr>
            </w:pPr>
            <w:r>
              <w:rPr>
                <w:b/>
              </w:rPr>
              <w:t>3.4.2 Impactul asupra mediului concurențial si domeniul ajutoarelor de stat</w:t>
            </w:r>
            <w:r>
              <w:rPr>
                <w:color w:val="FF0000"/>
              </w:rPr>
              <w:t xml:space="preserve">   </w:t>
            </w:r>
          </w:p>
          <w:p w14:paraId="0CDB66C0" w14:textId="77777777" w:rsidR="00826146" w:rsidRPr="00A3269F" w:rsidRDefault="00AA4590">
            <w:pPr>
              <w:spacing w:after="120"/>
              <w:jc w:val="both"/>
              <w:rPr>
                <w:b/>
              </w:rPr>
            </w:pPr>
            <w:r w:rsidRPr="00A3269F">
              <w:rPr>
                <w:rFonts w:ascii="Trebuchet MS" w:hAnsi="Trebuchet MS"/>
                <w:sz w:val="22"/>
                <w:szCs w:val="22"/>
              </w:rPr>
              <w:t>Proiectul de act normativ nu creează distorsiuni ale mecanismelor concurenţiale existente şi nu are impact asupra domeniului ajutoarelor de stat.</w:t>
            </w:r>
            <w:r w:rsidR="00302192" w:rsidRPr="00A3269F">
              <w:rPr>
                <w:b/>
              </w:rPr>
              <w:t xml:space="preserve"> </w:t>
            </w:r>
          </w:p>
          <w:p w14:paraId="58017A69" w14:textId="77777777" w:rsidR="00826146" w:rsidRDefault="00302192">
            <w:pPr>
              <w:spacing w:after="120"/>
              <w:jc w:val="both"/>
              <w:rPr>
                <w:b/>
              </w:rPr>
            </w:pPr>
            <w:r>
              <w:rPr>
                <w:b/>
              </w:rPr>
              <w:t>3.5. Impactul asupra mediului de afaceri</w:t>
            </w:r>
          </w:p>
          <w:p w14:paraId="4BC203DB" w14:textId="77777777" w:rsidR="00AA4590" w:rsidRPr="00A3269F" w:rsidRDefault="00AA4590">
            <w:pPr>
              <w:spacing w:after="120"/>
              <w:jc w:val="both"/>
              <w:rPr>
                <w:b/>
                <w:sz w:val="22"/>
                <w:szCs w:val="22"/>
              </w:rPr>
            </w:pPr>
            <w:r w:rsidRPr="00A3269F">
              <w:rPr>
                <w:rFonts w:ascii="Trebuchet MS" w:hAnsi="Trebuchet MS"/>
                <w:sz w:val="22"/>
                <w:szCs w:val="22"/>
              </w:rPr>
              <w:t>Măsurile propuse prin acest proiect sunt favorabile mediului de afaceri deoarece au ca obiect consolidarea mijloacelor actuale prin care statele membre pot preveni și combate practicile fiscale agresive, astfel încât să se asigure un mediu economic concurențial, predictibil și favorabil investițiilor.</w:t>
            </w:r>
          </w:p>
          <w:p w14:paraId="6D1AD01B" w14:textId="77777777" w:rsidR="00826146" w:rsidRDefault="00302192">
            <w:pPr>
              <w:spacing w:after="120"/>
              <w:jc w:val="both"/>
              <w:rPr>
                <w:b/>
                <w:bCs/>
                <w:color w:val="FF0000"/>
              </w:rPr>
            </w:pPr>
            <w:r>
              <w:rPr>
                <w:b/>
              </w:rPr>
              <w:t>3.6 Impactul asupra mediului înconjurător</w:t>
            </w:r>
            <w:r>
              <w:rPr>
                <w:b/>
                <w:bCs/>
                <w:color w:val="FF0000"/>
              </w:rPr>
              <w:t xml:space="preserve"> </w:t>
            </w:r>
          </w:p>
          <w:p w14:paraId="38AE9D10" w14:textId="77777777" w:rsidR="00826146" w:rsidRDefault="00302192">
            <w:pPr>
              <w:spacing w:after="120"/>
              <w:jc w:val="both"/>
              <w:rPr>
                <w:b/>
                <w:bCs/>
                <w:color w:val="FF0000"/>
              </w:rPr>
            </w:pPr>
            <w:r>
              <w:rPr>
                <w:b/>
                <w:bCs/>
              </w:rPr>
              <w:t>3.7. Evaluarea costurilor și beneficiilor din perspectiva inovării și digitalizării</w:t>
            </w:r>
            <w:r>
              <w:rPr>
                <w:color w:val="FF0000"/>
              </w:rPr>
              <w:t xml:space="preserve">    </w:t>
            </w:r>
          </w:p>
          <w:p w14:paraId="1DCC2F07" w14:textId="440F826B" w:rsidR="00826146" w:rsidRDefault="00302192">
            <w:pPr>
              <w:spacing w:after="120"/>
              <w:jc w:val="both"/>
              <w:rPr>
                <w:b/>
                <w:bCs/>
              </w:rPr>
            </w:pPr>
            <w:r>
              <w:rPr>
                <w:b/>
                <w:bCs/>
              </w:rPr>
              <w:t>3.8 Evaluarea costurilor și beneficiilor din perspectiva dezvoltării durabil</w:t>
            </w:r>
            <w:r w:rsidR="0016186D">
              <w:rPr>
                <w:b/>
                <w:bCs/>
              </w:rPr>
              <w:t>e</w:t>
            </w:r>
          </w:p>
          <w:p w14:paraId="3D34EC92" w14:textId="77777777" w:rsidR="00826146" w:rsidRDefault="00302192">
            <w:pPr>
              <w:spacing w:after="120"/>
              <w:jc w:val="both"/>
              <w:rPr>
                <w:b/>
                <w:bCs/>
              </w:rPr>
            </w:pPr>
            <w:r>
              <w:rPr>
                <w:b/>
                <w:bCs/>
              </w:rPr>
              <w:t>3.9. Alte informații</w:t>
            </w:r>
          </w:p>
        </w:tc>
      </w:tr>
    </w:tbl>
    <w:p w14:paraId="519EF984" w14:textId="77777777" w:rsidR="00826146" w:rsidRDefault="00302192">
      <w:pPr>
        <w:spacing w:after="120"/>
        <w:ind w:firstLine="720"/>
        <w:jc w:val="both"/>
        <w:rPr>
          <w:b/>
        </w:rPr>
      </w:pPr>
      <w:r>
        <w:rPr>
          <w:b/>
        </w:rPr>
        <w:t xml:space="preserve">Secţiunea a 4-a </w:t>
      </w:r>
    </w:p>
    <w:p w14:paraId="5AD717D7" w14:textId="77777777" w:rsidR="00826146" w:rsidRDefault="00302192">
      <w:pPr>
        <w:spacing w:after="120"/>
        <w:ind w:firstLine="720"/>
        <w:jc w:val="both"/>
        <w:rPr>
          <w:b/>
        </w:rPr>
      </w:pPr>
      <w:r>
        <w:rPr>
          <w:b/>
        </w:rPr>
        <w:t>Impactul financiar asupra bugetului general consolidat atât pe termen scurt, pentru anul curent, cât şi pe termen lung (pe 5 ani), inclusiv informații cu privire la cheltuieli și venituri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058"/>
        <w:gridCol w:w="1366"/>
        <w:gridCol w:w="1466"/>
        <w:gridCol w:w="1366"/>
        <w:gridCol w:w="1135"/>
        <w:gridCol w:w="1448"/>
      </w:tblGrid>
      <w:tr w:rsidR="00826146" w14:paraId="74D81BBA" w14:textId="77777777">
        <w:tc>
          <w:tcPr>
            <w:tcW w:w="10533" w:type="dxa"/>
            <w:gridSpan w:val="7"/>
          </w:tcPr>
          <w:p w14:paraId="08BA799C" w14:textId="77777777" w:rsidR="00826146" w:rsidRDefault="00302192">
            <w:pPr>
              <w:pStyle w:val="ListParagraph"/>
              <w:numPr>
                <w:ilvl w:val="0"/>
                <w:numId w:val="4"/>
              </w:numPr>
              <w:spacing w:after="120"/>
              <w:jc w:val="right"/>
              <w:rPr>
                <w:rFonts w:ascii="Times New Roman" w:hAnsi="Times New Roman" w:cs="Times New Roman"/>
              </w:rPr>
            </w:pPr>
            <w:r>
              <w:rPr>
                <w:rFonts w:ascii="Times New Roman" w:hAnsi="Times New Roman" w:cs="Times New Roman"/>
              </w:rPr>
              <w:t>În mii lei (RON)</w:t>
            </w:r>
          </w:p>
        </w:tc>
      </w:tr>
      <w:tr w:rsidR="00826146" w14:paraId="37978621" w14:textId="77777777">
        <w:tc>
          <w:tcPr>
            <w:tcW w:w="2694" w:type="dxa"/>
          </w:tcPr>
          <w:p w14:paraId="21ACA868" w14:textId="77777777" w:rsidR="00826146" w:rsidRDefault="00302192">
            <w:pPr>
              <w:pStyle w:val="Heading2"/>
              <w:spacing w:after="120"/>
              <w:rPr>
                <w:sz w:val="24"/>
              </w:rPr>
            </w:pPr>
            <w:r>
              <w:rPr>
                <w:sz w:val="24"/>
              </w:rPr>
              <w:t>Indicatori</w:t>
            </w:r>
          </w:p>
        </w:tc>
        <w:tc>
          <w:tcPr>
            <w:tcW w:w="1058" w:type="dxa"/>
          </w:tcPr>
          <w:p w14:paraId="77C55EBE" w14:textId="77777777" w:rsidR="00826146" w:rsidRDefault="00302192">
            <w:pPr>
              <w:spacing w:after="120"/>
              <w:jc w:val="center"/>
            </w:pPr>
            <w:r>
              <w:t>Anul curent</w:t>
            </w:r>
          </w:p>
        </w:tc>
        <w:tc>
          <w:tcPr>
            <w:tcW w:w="5333" w:type="dxa"/>
            <w:gridSpan w:val="4"/>
          </w:tcPr>
          <w:p w14:paraId="69D08B5E" w14:textId="77777777" w:rsidR="00826146" w:rsidRDefault="00302192">
            <w:pPr>
              <w:spacing w:after="120"/>
              <w:jc w:val="center"/>
            </w:pPr>
            <w:r>
              <w:t>Următorii 4 ani</w:t>
            </w:r>
          </w:p>
        </w:tc>
        <w:tc>
          <w:tcPr>
            <w:tcW w:w="1448" w:type="dxa"/>
          </w:tcPr>
          <w:p w14:paraId="007F882B" w14:textId="77777777" w:rsidR="00826146" w:rsidRDefault="00302192">
            <w:pPr>
              <w:spacing w:after="120"/>
              <w:jc w:val="center"/>
            </w:pPr>
            <w:r>
              <w:t>Media pe 5 ani</w:t>
            </w:r>
          </w:p>
        </w:tc>
      </w:tr>
      <w:tr w:rsidR="00826146" w14:paraId="0DBFF596" w14:textId="77777777">
        <w:tc>
          <w:tcPr>
            <w:tcW w:w="2694" w:type="dxa"/>
          </w:tcPr>
          <w:p w14:paraId="4B0175C8" w14:textId="77777777" w:rsidR="00826146" w:rsidRDefault="00302192">
            <w:pPr>
              <w:spacing w:after="120"/>
              <w:jc w:val="center"/>
            </w:pPr>
            <w:r>
              <w:t>1</w:t>
            </w:r>
          </w:p>
        </w:tc>
        <w:tc>
          <w:tcPr>
            <w:tcW w:w="1058" w:type="dxa"/>
            <w:vAlign w:val="center"/>
          </w:tcPr>
          <w:p w14:paraId="12105E23" w14:textId="77777777" w:rsidR="00826146" w:rsidRDefault="00302192">
            <w:pPr>
              <w:spacing w:after="120"/>
              <w:jc w:val="center"/>
            </w:pPr>
            <w:r>
              <w:t>2</w:t>
            </w:r>
          </w:p>
        </w:tc>
        <w:tc>
          <w:tcPr>
            <w:tcW w:w="1366" w:type="dxa"/>
            <w:vAlign w:val="center"/>
          </w:tcPr>
          <w:p w14:paraId="18F82E72" w14:textId="77777777" w:rsidR="00826146" w:rsidRDefault="00302192">
            <w:pPr>
              <w:spacing w:after="120"/>
              <w:jc w:val="center"/>
            </w:pPr>
            <w:r>
              <w:t>3</w:t>
            </w:r>
          </w:p>
        </w:tc>
        <w:tc>
          <w:tcPr>
            <w:tcW w:w="1466" w:type="dxa"/>
            <w:vAlign w:val="center"/>
          </w:tcPr>
          <w:p w14:paraId="041A9B11" w14:textId="77777777" w:rsidR="00826146" w:rsidRDefault="00302192">
            <w:pPr>
              <w:spacing w:after="120"/>
              <w:jc w:val="center"/>
            </w:pPr>
            <w:r>
              <w:t>4</w:t>
            </w:r>
          </w:p>
        </w:tc>
        <w:tc>
          <w:tcPr>
            <w:tcW w:w="1366" w:type="dxa"/>
            <w:vAlign w:val="center"/>
          </w:tcPr>
          <w:p w14:paraId="0BBB91E1" w14:textId="77777777" w:rsidR="00826146" w:rsidRDefault="00302192">
            <w:pPr>
              <w:spacing w:after="120"/>
              <w:jc w:val="center"/>
            </w:pPr>
            <w:r>
              <w:t>5</w:t>
            </w:r>
          </w:p>
        </w:tc>
        <w:tc>
          <w:tcPr>
            <w:tcW w:w="1135" w:type="dxa"/>
            <w:vAlign w:val="center"/>
          </w:tcPr>
          <w:p w14:paraId="35D808C8" w14:textId="77777777" w:rsidR="00826146" w:rsidRDefault="00302192">
            <w:pPr>
              <w:spacing w:after="120"/>
              <w:jc w:val="center"/>
            </w:pPr>
            <w:r>
              <w:t>6</w:t>
            </w:r>
          </w:p>
        </w:tc>
        <w:tc>
          <w:tcPr>
            <w:tcW w:w="1448" w:type="dxa"/>
            <w:vAlign w:val="center"/>
          </w:tcPr>
          <w:p w14:paraId="3BD5A24B" w14:textId="77777777" w:rsidR="00826146" w:rsidRDefault="00302192">
            <w:pPr>
              <w:spacing w:after="120"/>
              <w:jc w:val="center"/>
            </w:pPr>
            <w:r>
              <w:t>7</w:t>
            </w:r>
          </w:p>
        </w:tc>
      </w:tr>
      <w:tr w:rsidR="00826146" w14:paraId="379AAF00" w14:textId="77777777">
        <w:tc>
          <w:tcPr>
            <w:tcW w:w="2694" w:type="dxa"/>
          </w:tcPr>
          <w:p w14:paraId="183D22E8" w14:textId="77777777" w:rsidR="00826146" w:rsidRDefault="00302192">
            <w:pPr>
              <w:spacing w:after="120"/>
              <w:jc w:val="both"/>
              <w:rPr>
                <w:b/>
                <w:bCs/>
              </w:rPr>
            </w:pPr>
            <w:r>
              <w:rPr>
                <w:b/>
                <w:bCs/>
              </w:rPr>
              <w:t>4.1. Modificări ale veniturilor bugetare, plus/minus, din care:</w:t>
            </w:r>
          </w:p>
        </w:tc>
        <w:tc>
          <w:tcPr>
            <w:tcW w:w="1058" w:type="dxa"/>
          </w:tcPr>
          <w:p w14:paraId="7C70E695" w14:textId="77777777" w:rsidR="00826146" w:rsidRDefault="00826146">
            <w:pPr>
              <w:pStyle w:val="BodyText2"/>
              <w:spacing w:after="120"/>
              <w:rPr>
                <w:sz w:val="24"/>
              </w:rPr>
            </w:pPr>
          </w:p>
        </w:tc>
        <w:tc>
          <w:tcPr>
            <w:tcW w:w="1366" w:type="dxa"/>
          </w:tcPr>
          <w:p w14:paraId="124AED33" w14:textId="77777777" w:rsidR="00826146" w:rsidRDefault="00826146">
            <w:pPr>
              <w:pStyle w:val="BodyText2"/>
              <w:spacing w:after="120"/>
              <w:rPr>
                <w:sz w:val="24"/>
              </w:rPr>
            </w:pPr>
          </w:p>
        </w:tc>
        <w:tc>
          <w:tcPr>
            <w:tcW w:w="1466" w:type="dxa"/>
          </w:tcPr>
          <w:p w14:paraId="5F7A75CC" w14:textId="77777777" w:rsidR="00826146" w:rsidRDefault="00826146">
            <w:pPr>
              <w:pStyle w:val="BodyText2"/>
              <w:spacing w:after="120"/>
              <w:rPr>
                <w:sz w:val="24"/>
              </w:rPr>
            </w:pPr>
          </w:p>
        </w:tc>
        <w:tc>
          <w:tcPr>
            <w:tcW w:w="1366" w:type="dxa"/>
          </w:tcPr>
          <w:p w14:paraId="7805FCC1" w14:textId="77777777" w:rsidR="00826146" w:rsidRDefault="00826146">
            <w:pPr>
              <w:pStyle w:val="BodyText2"/>
              <w:spacing w:after="120"/>
              <w:rPr>
                <w:sz w:val="24"/>
              </w:rPr>
            </w:pPr>
          </w:p>
        </w:tc>
        <w:tc>
          <w:tcPr>
            <w:tcW w:w="1135" w:type="dxa"/>
          </w:tcPr>
          <w:p w14:paraId="18BE7CAA" w14:textId="77777777" w:rsidR="00826146" w:rsidRDefault="00826146">
            <w:pPr>
              <w:pStyle w:val="BodyText2"/>
              <w:spacing w:after="120"/>
              <w:rPr>
                <w:sz w:val="24"/>
              </w:rPr>
            </w:pPr>
          </w:p>
        </w:tc>
        <w:tc>
          <w:tcPr>
            <w:tcW w:w="1448" w:type="dxa"/>
          </w:tcPr>
          <w:p w14:paraId="5EC145AC" w14:textId="77777777" w:rsidR="00826146" w:rsidRDefault="00826146">
            <w:pPr>
              <w:pStyle w:val="BodyText2"/>
              <w:spacing w:after="120"/>
              <w:rPr>
                <w:sz w:val="24"/>
              </w:rPr>
            </w:pPr>
          </w:p>
        </w:tc>
      </w:tr>
      <w:tr w:rsidR="00826146" w14:paraId="607807B0" w14:textId="77777777">
        <w:tc>
          <w:tcPr>
            <w:tcW w:w="2694" w:type="dxa"/>
          </w:tcPr>
          <w:p w14:paraId="443872D5" w14:textId="77777777" w:rsidR="00826146" w:rsidRDefault="00302192">
            <w:pPr>
              <w:spacing w:after="120"/>
              <w:jc w:val="both"/>
            </w:pPr>
            <w:r>
              <w:t>a) bugetul de stat, din acesta:</w:t>
            </w:r>
          </w:p>
          <w:p w14:paraId="449A3B6E" w14:textId="77777777" w:rsidR="00826146" w:rsidRDefault="00302192">
            <w:pPr>
              <w:spacing w:after="120"/>
              <w:jc w:val="both"/>
            </w:pPr>
            <w:r>
              <w:lastRenderedPageBreak/>
              <w:t>(i) impozit pe profit</w:t>
            </w:r>
          </w:p>
          <w:p w14:paraId="6BE6D3EF" w14:textId="77777777" w:rsidR="00826146" w:rsidRDefault="00302192">
            <w:pPr>
              <w:spacing w:after="120"/>
              <w:jc w:val="both"/>
            </w:pPr>
            <w:r>
              <w:t>(ii) impozit pe venit</w:t>
            </w:r>
          </w:p>
        </w:tc>
        <w:tc>
          <w:tcPr>
            <w:tcW w:w="1058" w:type="dxa"/>
          </w:tcPr>
          <w:p w14:paraId="115D6406" w14:textId="77777777" w:rsidR="00826146" w:rsidRDefault="00826146">
            <w:pPr>
              <w:pStyle w:val="BodyText2"/>
              <w:spacing w:after="120"/>
              <w:rPr>
                <w:sz w:val="24"/>
              </w:rPr>
            </w:pPr>
          </w:p>
        </w:tc>
        <w:tc>
          <w:tcPr>
            <w:tcW w:w="1366" w:type="dxa"/>
          </w:tcPr>
          <w:p w14:paraId="46D2F8BF" w14:textId="77777777" w:rsidR="00826146" w:rsidRDefault="00826146">
            <w:pPr>
              <w:pStyle w:val="BodyText2"/>
              <w:spacing w:after="120"/>
              <w:rPr>
                <w:sz w:val="24"/>
              </w:rPr>
            </w:pPr>
          </w:p>
        </w:tc>
        <w:tc>
          <w:tcPr>
            <w:tcW w:w="1466" w:type="dxa"/>
          </w:tcPr>
          <w:p w14:paraId="269D8491" w14:textId="77777777" w:rsidR="00826146" w:rsidRDefault="00826146">
            <w:pPr>
              <w:pStyle w:val="BodyText2"/>
              <w:spacing w:after="120"/>
              <w:rPr>
                <w:sz w:val="24"/>
              </w:rPr>
            </w:pPr>
          </w:p>
        </w:tc>
        <w:tc>
          <w:tcPr>
            <w:tcW w:w="1366" w:type="dxa"/>
          </w:tcPr>
          <w:p w14:paraId="03F3659A" w14:textId="77777777" w:rsidR="00826146" w:rsidRDefault="00826146">
            <w:pPr>
              <w:pStyle w:val="BodyText2"/>
              <w:spacing w:after="120"/>
              <w:rPr>
                <w:sz w:val="24"/>
              </w:rPr>
            </w:pPr>
          </w:p>
        </w:tc>
        <w:tc>
          <w:tcPr>
            <w:tcW w:w="1135" w:type="dxa"/>
          </w:tcPr>
          <w:p w14:paraId="2B8D7DE4" w14:textId="77777777" w:rsidR="00826146" w:rsidRDefault="00826146">
            <w:pPr>
              <w:pStyle w:val="BodyText2"/>
              <w:spacing w:after="120"/>
              <w:rPr>
                <w:sz w:val="24"/>
              </w:rPr>
            </w:pPr>
          </w:p>
        </w:tc>
        <w:tc>
          <w:tcPr>
            <w:tcW w:w="1448" w:type="dxa"/>
          </w:tcPr>
          <w:p w14:paraId="6E236F77" w14:textId="77777777" w:rsidR="00826146" w:rsidRDefault="00826146">
            <w:pPr>
              <w:pStyle w:val="BodyText2"/>
              <w:spacing w:after="120"/>
              <w:rPr>
                <w:sz w:val="24"/>
              </w:rPr>
            </w:pPr>
          </w:p>
        </w:tc>
      </w:tr>
      <w:tr w:rsidR="00826146" w14:paraId="58803B06" w14:textId="77777777">
        <w:tc>
          <w:tcPr>
            <w:tcW w:w="2694" w:type="dxa"/>
          </w:tcPr>
          <w:p w14:paraId="77CBD4A9" w14:textId="77777777" w:rsidR="00826146" w:rsidRDefault="00302192">
            <w:pPr>
              <w:spacing w:after="120"/>
              <w:jc w:val="both"/>
            </w:pPr>
            <w:r>
              <w:lastRenderedPageBreak/>
              <w:t>b) bugete locale:</w:t>
            </w:r>
          </w:p>
          <w:p w14:paraId="61AA3C8C" w14:textId="77777777" w:rsidR="00826146" w:rsidRDefault="00302192">
            <w:pPr>
              <w:spacing w:after="120"/>
              <w:jc w:val="both"/>
            </w:pPr>
            <w:r>
              <w:t>(i) impozit pe profit</w:t>
            </w:r>
          </w:p>
        </w:tc>
        <w:tc>
          <w:tcPr>
            <w:tcW w:w="1058" w:type="dxa"/>
          </w:tcPr>
          <w:p w14:paraId="5AE1A917" w14:textId="77777777" w:rsidR="00826146" w:rsidRDefault="00826146">
            <w:pPr>
              <w:pStyle w:val="BodyText2"/>
              <w:spacing w:after="120"/>
              <w:rPr>
                <w:sz w:val="24"/>
              </w:rPr>
            </w:pPr>
          </w:p>
        </w:tc>
        <w:tc>
          <w:tcPr>
            <w:tcW w:w="1366" w:type="dxa"/>
          </w:tcPr>
          <w:p w14:paraId="1E20B638" w14:textId="77777777" w:rsidR="00826146" w:rsidRDefault="00826146">
            <w:pPr>
              <w:pStyle w:val="BodyText2"/>
              <w:spacing w:after="120"/>
              <w:rPr>
                <w:sz w:val="24"/>
              </w:rPr>
            </w:pPr>
          </w:p>
        </w:tc>
        <w:tc>
          <w:tcPr>
            <w:tcW w:w="1466" w:type="dxa"/>
          </w:tcPr>
          <w:p w14:paraId="67FB342B" w14:textId="77777777" w:rsidR="00826146" w:rsidRDefault="00826146">
            <w:pPr>
              <w:pStyle w:val="BodyText2"/>
              <w:spacing w:after="120"/>
              <w:rPr>
                <w:sz w:val="24"/>
              </w:rPr>
            </w:pPr>
          </w:p>
        </w:tc>
        <w:tc>
          <w:tcPr>
            <w:tcW w:w="1366" w:type="dxa"/>
          </w:tcPr>
          <w:p w14:paraId="2B0D4DCF" w14:textId="77777777" w:rsidR="00826146" w:rsidRDefault="00826146">
            <w:pPr>
              <w:pStyle w:val="BodyText2"/>
              <w:spacing w:after="120"/>
              <w:rPr>
                <w:sz w:val="24"/>
              </w:rPr>
            </w:pPr>
          </w:p>
        </w:tc>
        <w:tc>
          <w:tcPr>
            <w:tcW w:w="1135" w:type="dxa"/>
          </w:tcPr>
          <w:p w14:paraId="386EBF2A" w14:textId="77777777" w:rsidR="00826146" w:rsidRDefault="00826146">
            <w:pPr>
              <w:pStyle w:val="BodyText2"/>
              <w:spacing w:after="120"/>
              <w:rPr>
                <w:sz w:val="24"/>
              </w:rPr>
            </w:pPr>
          </w:p>
        </w:tc>
        <w:tc>
          <w:tcPr>
            <w:tcW w:w="1448" w:type="dxa"/>
          </w:tcPr>
          <w:p w14:paraId="0BA8743F" w14:textId="77777777" w:rsidR="00826146" w:rsidRDefault="00826146">
            <w:pPr>
              <w:pStyle w:val="BodyText2"/>
              <w:spacing w:after="120"/>
              <w:rPr>
                <w:sz w:val="24"/>
              </w:rPr>
            </w:pPr>
          </w:p>
        </w:tc>
      </w:tr>
      <w:tr w:rsidR="00826146" w14:paraId="3E448CD5" w14:textId="77777777">
        <w:tc>
          <w:tcPr>
            <w:tcW w:w="2694" w:type="dxa"/>
          </w:tcPr>
          <w:p w14:paraId="4A65407A" w14:textId="77777777" w:rsidR="00826146" w:rsidRDefault="00302192">
            <w:pPr>
              <w:spacing w:after="120"/>
              <w:jc w:val="both"/>
            </w:pPr>
            <w:r>
              <w:t>c) bugetul asigurărilor sociale de stat</w:t>
            </w:r>
          </w:p>
          <w:p w14:paraId="2967665B" w14:textId="77777777" w:rsidR="00826146" w:rsidRDefault="00302192">
            <w:pPr>
              <w:spacing w:after="120"/>
              <w:jc w:val="both"/>
            </w:pPr>
            <w:r>
              <w:t>(i) contribuţii de asigurări</w:t>
            </w:r>
          </w:p>
        </w:tc>
        <w:tc>
          <w:tcPr>
            <w:tcW w:w="1058" w:type="dxa"/>
          </w:tcPr>
          <w:p w14:paraId="7ECE8952" w14:textId="77777777" w:rsidR="00826146" w:rsidRDefault="00826146">
            <w:pPr>
              <w:pStyle w:val="BodyText2"/>
              <w:spacing w:after="120"/>
              <w:rPr>
                <w:sz w:val="24"/>
              </w:rPr>
            </w:pPr>
          </w:p>
        </w:tc>
        <w:tc>
          <w:tcPr>
            <w:tcW w:w="1366" w:type="dxa"/>
          </w:tcPr>
          <w:p w14:paraId="54770DF1" w14:textId="77777777" w:rsidR="00826146" w:rsidRDefault="00826146">
            <w:pPr>
              <w:pStyle w:val="BodyText2"/>
              <w:spacing w:after="120"/>
              <w:rPr>
                <w:sz w:val="24"/>
              </w:rPr>
            </w:pPr>
          </w:p>
        </w:tc>
        <w:tc>
          <w:tcPr>
            <w:tcW w:w="1466" w:type="dxa"/>
          </w:tcPr>
          <w:p w14:paraId="765EB9D4" w14:textId="77777777" w:rsidR="00826146" w:rsidRDefault="00826146">
            <w:pPr>
              <w:pStyle w:val="BodyText2"/>
              <w:spacing w:after="120"/>
              <w:rPr>
                <w:sz w:val="24"/>
              </w:rPr>
            </w:pPr>
          </w:p>
        </w:tc>
        <w:tc>
          <w:tcPr>
            <w:tcW w:w="1366" w:type="dxa"/>
          </w:tcPr>
          <w:p w14:paraId="2B0BEDB5" w14:textId="77777777" w:rsidR="00826146" w:rsidRDefault="00826146">
            <w:pPr>
              <w:pStyle w:val="BodyText2"/>
              <w:spacing w:after="120"/>
              <w:rPr>
                <w:sz w:val="24"/>
              </w:rPr>
            </w:pPr>
          </w:p>
        </w:tc>
        <w:tc>
          <w:tcPr>
            <w:tcW w:w="1135" w:type="dxa"/>
          </w:tcPr>
          <w:p w14:paraId="03AAFD9E" w14:textId="77777777" w:rsidR="00826146" w:rsidRDefault="00826146">
            <w:pPr>
              <w:pStyle w:val="BodyText2"/>
              <w:spacing w:after="120"/>
              <w:rPr>
                <w:sz w:val="24"/>
              </w:rPr>
            </w:pPr>
          </w:p>
        </w:tc>
        <w:tc>
          <w:tcPr>
            <w:tcW w:w="1448" w:type="dxa"/>
          </w:tcPr>
          <w:p w14:paraId="51D0471A" w14:textId="77777777" w:rsidR="00826146" w:rsidRDefault="00826146">
            <w:pPr>
              <w:pStyle w:val="BodyText2"/>
              <w:spacing w:after="120"/>
              <w:rPr>
                <w:sz w:val="24"/>
              </w:rPr>
            </w:pPr>
          </w:p>
        </w:tc>
      </w:tr>
      <w:tr w:rsidR="00826146" w14:paraId="7A6631DA" w14:textId="77777777">
        <w:tc>
          <w:tcPr>
            <w:tcW w:w="2694" w:type="dxa"/>
          </w:tcPr>
          <w:p w14:paraId="66DB9FCB" w14:textId="77777777" w:rsidR="00826146" w:rsidRDefault="00302192">
            <w:pPr>
              <w:spacing w:after="120"/>
              <w:jc w:val="both"/>
            </w:pPr>
            <w:r>
              <w:t>d) alte tipuri de venituri</w:t>
            </w:r>
          </w:p>
          <w:p w14:paraId="128E157A" w14:textId="77777777" w:rsidR="00826146" w:rsidRDefault="00302192">
            <w:pPr>
              <w:spacing w:after="120"/>
              <w:jc w:val="both"/>
            </w:pPr>
            <w:r>
              <w:t xml:space="preserve">(Se va menționa natura acestora.) </w:t>
            </w:r>
          </w:p>
        </w:tc>
        <w:tc>
          <w:tcPr>
            <w:tcW w:w="1058" w:type="dxa"/>
          </w:tcPr>
          <w:p w14:paraId="6FDA9DEB" w14:textId="77777777" w:rsidR="00826146" w:rsidRDefault="00826146">
            <w:pPr>
              <w:pStyle w:val="BodyText2"/>
              <w:spacing w:after="120"/>
              <w:rPr>
                <w:sz w:val="24"/>
              </w:rPr>
            </w:pPr>
          </w:p>
        </w:tc>
        <w:tc>
          <w:tcPr>
            <w:tcW w:w="1366" w:type="dxa"/>
          </w:tcPr>
          <w:p w14:paraId="30E92DD8" w14:textId="77777777" w:rsidR="00826146" w:rsidRDefault="00826146">
            <w:pPr>
              <w:pStyle w:val="BodyText2"/>
              <w:spacing w:after="120"/>
              <w:rPr>
                <w:sz w:val="24"/>
              </w:rPr>
            </w:pPr>
          </w:p>
        </w:tc>
        <w:tc>
          <w:tcPr>
            <w:tcW w:w="1466" w:type="dxa"/>
          </w:tcPr>
          <w:p w14:paraId="7C90797A" w14:textId="77777777" w:rsidR="00826146" w:rsidRDefault="00826146">
            <w:pPr>
              <w:pStyle w:val="BodyText2"/>
              <w:spacing w:after="120"/>
              <w:rPr>
                <w:sz w:val="24"/>
              </w:rPr>
            </w:pPr>
          </w:p>
        </w:tc>
        <w:tc>
          <w:tcPr>
            <w:tcW w:w="1366" w:type="dxa"/>
          </w:tcPr>
          <w:p w14:paraId="4D913E7F" w14:textId="77777777" w:rsidR="00826146" w:rsidRDefault="00826146">
            <w:pPr>
              <w:pStyle w:val="BodyText2"/>
              <w:spacing w:after="120"/>
              <w:rPr>
                <w:sz w:val="24"/>
              </w:rPr>
            </w:pPr>
          </w:p>
        </w:tc>
        <w:tc>
          <w:tcPr>
            <w:tcW w:w="1135" w:type="dxa"/>
          </w:tcPr>
          <w:p w14:paraId="58176DAB" w14:textId="77777777" w:rsidR="00826146" w:rsidRDefault="00826146">
            <w:pPr>
              <w:pStyle w:val="BodyText2"/>
              <w:spacing w:after="120"/>
              <w:rPr>
                <w:sz w:val="24"/>
              </w:rPr>
            </w:pPr>
          </w:p>
        </w:tc>
        <w:tc>
          <w:tcPr>
            <w:tcW w:w="1448" w:type="dxa"/>
          </w:tcPr>
          <w:p w14:paraId="15D729AB" w14:textId="77777777" w:rsidR="00826146" w:rsidRDefault="00826146">
            <w:pPr>
              <w:pStyle w:val="BodyText2"/>
              <w:spacing w:after="120"/>
              <w:rPr>
                <w:sz w:val="24"/>
              </w:rPr>
            </w:pPr>
          </w:p>
        </w:tc>
      </w:tr>
      <w:tr w:rsidR="00826146" w14:paraId="4B9DAAD8" w14:textId="77777777">
        <w:tc>
          <w:tcPr>
            <w:tcW w:w="2694" w:type="dxa"/>
          </w:tcPr>
          <w:p w14:paraId="3D9362E5" w14:textId="77777777" w:rsidR="00826146" w:rsidRDefault="00302192">
            <w:pPr>
              <w:spacing w:after="120"/>
              <w:jc w:val="both"/>
              <w:rPr>
                <w:b/>
                <w:bCs/>
              </w:rPr>
            </w:pPr>
            <w:r>
              <w:rPr>
                <w:b/>
                <w:bCs/>
              </w:rPr>
              <w:t>4.2. Modificări ale cheltuielilor bugetare, plus/minus, din care:</w:t>
            </w:r>
          </w:p>
        </w:tc>
        <w:tc>
          <w:tcPr>
            <w:tcW w:w="1058" w:type="dxa"/>
          </w:tcPr>
          <w:p w14:paraId="5A45B7D7" w14:textId="77777777" w:rsidR="00826146" w:rsidRDefault="00826146">
            <w:pPr>
              <w:spacing w:after="120"/>
              <w:jc w:val="center"/>
            </w:pPr>
          </w:p>
        </w:tc>
        <w:tc>
          <w:tcPr>
            <w:tcW w:w="1366" w:type="dxa"/>
          </w:tcPr>
          <w:p w14:paraId="3FAAAC57" w14:textId="77777777" w:rsidR="00826146" w:rsidRDefault="00826146">
            <w:pPr>
              <w:spacing w:after="120"/>
              <w:jc w:val="center"/>
            </w:pPr>
          </w:p>
        </w:tc>
        <w:tc>
          <w:tcPr>
            <w:tcW w:w="1466" w:type="dxa"/>
          </w:tcPr>
          <w:p w14:paraId="11A25B67" w14:textId="77777777" w:rsidR="00826146" w:rsidRDefault="00826146">
            <w:pPr>
              <w:spacing w:after="120"/>
              <w:jc w:val="center"/>
            </w:pPr>
          </w:p>
        </w:tc>
        <w:tc>
          <w:tcPr>
            <w:tcW w:w="1366" w:type="dxa"/>
          </w:tcPr>
          <w:p w14:paraId="1C993112" w14:textId="77777777" w:rsidR="00826146" w:rsidRDefault="00826146">
            <w:pPr>
              <w:spacing w:after="120"/>
              <w:jc w:val="center"/>
            </w:pPr>
          </w:p>
        </w:tc>
        <w:tc>
          <w:tcPr>
            <w:tcW w:w="1135" w:type="dxa"/>
          </w:tcPr>
          <w:p w14:paraId="3BFC5149" w14:textId="77777777" w:rsidR="00826146" w:rsidRDefault="00826146">
            <w:pPr>
              <w:spacing w:after="120"/>
              <w:jc w:val="center"/>
            </w:pPr>
          </w:p>
        </w:tc>
        <w:tc>
          <w:tcPr>
            <w:tcW w:w="1448" w:type="dxa"/>
          </w:tcPr>
          <w:p w14:paraId="59C73DE0" w14:textId="77777777" w:rsidR="00826146" w:rsidRDefault="00826146">
            <w:pPr>
              <w:spacing w:after="120"/>
              <w:jc w:val="center"/>
            </w:pPr>
          </w:p>
        </w:tc>
      </w:tr>
      <w:tr w:rsidR="00826146" w14:paraId="4F3FF72C" w14:textId="77777777">
        <w:tc>
          <w:tcPr>
            <w:tcW w:w="2694" w:type="dxa"/>
          </w:tcPr>
          <w:p w14:paraId="7AAFEC98" w14:textId="77777777" w:rsidR="00826146" w:rsidRDefault="00302192">
            <w:pPr>
              <w:spacing w:after="120"/>
              <w:jc w:val="both"/>
            </w:pPr>
            <w:r>
              <w:t>a) buget de stat, din acesta:</w:t>
            </w:r>
          </w:p>
          <w:p w14:paraId="4A14720A" w14:textId="77777777" w:rsidR="00826146" w:rsidRDefault="00302192">
            <w:pPr>
              <w:spacing w:after="120"/>
              <w:jc w:val="both"/>
            </w:pPr>
            <w:r>
              <w:t>(i) cheltuieli de personal</w:t>
            </w:r>
          </w:p>
          <w:p w14:paraId="0D67B5FD" w14:textId="77777777" w:rsidR="00826146" w:rsidRDefault="00302192">
            <w:pPr>
              <w:spacing w:after="120"/>
              <w:jc w:val="both"/>
            </w:pPr>
            <w:r>
              <w:t>(ii) bunuri şi servicii</w:t>
            </w:r>
          </w:p>
        </w:tc>
        <w:tc>
          <w:tcPr>
            <w:tcW w:w="1058" w:type="dxa"/>
          </w:tcPr>
          <w:p w14:paraId="5EBD61E8" w14:textId="77777777" w:rsidR="00826146" w:rsidRDefault="00826146">
            <w:pPr>
              <w:spacing w:after="120"/>
              <w:jc w:val="center"/>
            </w:pPr>
          </w:p>
        </w:tc>
        <w:tc>
          <w:tcPr>
            <w:tcW w:w="1366" w:type="dxa"/>
          </w:tcPr>
          <w:p w14:paraId="2261E78F" w14:textId="77777777" w:rsidR="00826146" w:rsidRDefault="00826146">
            <w:pPr>
              <w:spacing w:after="120"/>
              <w:jc w:val="center"/>
            </w:pPr>
          </w:p>
        </w:tc>
        <w:tc>
          <w:tcPr>
            <w:tcW w:w="1466" w:type="dxa"/>
          </w:tcPr>
          <w:p w14:paraId="20FD3078" w14:textId="77777777" w:rsidR="00826146" w:rsidRDefault="00826146">
            <w:pPr>
              <w:spacing w:after="120"/>
              <w:jc w:val="center"/>
            </w:pPr>
          </w:p>
        </w:tc>
        <w:tc>
          <w:tcPr>
            <w:tcW w:w="1366" w:type="dxa"/>
          </w:tcPr>
          <w:p w14:paraId="2C392511" w14:textId="77777777" w:rsidR="00826146" w:rsidRDefault="00826146">
            <w:pPr>
              <w:spacing w:after="120"/>
              <w:jc w:val="center"/>
            </w:pPr>
          </w:p>
        </w:tc>
        <w:tc>
          <w:tcPr>
            <w:tcW w:w="1135" w:type="dxa"/>
          </w:tcPr>
          <w:p w14:paraId="274FBCDE" w14:textId="77777777" w:rsidR="00826146" w:rsidRDefault="00826146">
            <w:pPr>
              <w:spacing w:after="120"/>
              <w:jc w:val="center"/>
            </w:pPr>
          </w:p>
        </w:tc>
        <w:tc>
          <w:tcPr>
            <w:tcW w:w="1448" w:type="dxa"/>
          </w:tcPr>
          <w:p w14:paraId="390D5343" w14:textId="77777777" w:rsidR="00826146" w:rsidRDefault="00826146">
            <w:pPr>
              <w:spacing w:after="120"/>
              <w:jc w:val="center"/>
            </w:pPr>
          </w:p>
        </w:tc>
      </w:tr>
      <w:tr w:rsidR="00826146" w14:paraId="51E78D6F" w14:textId="77777777">
        <w:tc>
          <w:tcPr>
            <w:tcW w:w="2694" w:type="dxa"/>
          </w:tcPr>
          <w:p w14:paraId="63FA37E9" w14:textId="77777777" w:rsidR="00826146" w:rsidRDefault="00302192">
            <w:pPr>
              <w:spacing w:after="120"/>
              <w:jc w:val="both"/>
            </w:pPr>
            <w:r>
              <w:t>b) bugete locale:</w:t>
            </w:r>
          </w:p>
          <w:p w14:paraId="113FD930" w14:textId="77777777" w:rsidR="00826146" w:rsidRDefault="00302192">
            <w:pPr>
              <w:spacing w:after="120"/>
              <w:jc w:val="both"/>
            </w:pPr>
            <w:r>
              <w:t>(i) cheltuieli de personal</w:t>
            </w:r>
          </w:p>
          <w:p w14:paraId="597BBD5C" w14:textId="77777777" w:rsidR="00826146" w:rsidRDefault="00302192">
            <w:pPr>
              <w:spacing w:after="120"/>
              <w:jc w:val="both"/>
            </w:pPr>
            <w:r>
              <w:t>(ii) bunuri şi servicii</w:t>
            </w:r>
          </w:p>
        </w:tc>
        <w:tc>
          <w:tcPr>
            <w:tcW w:w="1058" w:type="dxa"/>
          </w:tcPr>
          <w:p w14:paraId="7B1C51BA" w14:textId="77777777" w:rsidR="00826146" w:rsidRDefault="00826146">
            <w:pPr>
              <w:spacing w:after="120"/>
              <w:jc w:val="center"/>
            </w:pPr>
          </w:p>
        </w:tc>
        <w:tc>
          <w:tcPr>
            <w:tcW w:w="1366" w:type="dxa"/>
          </w:tcPr>
          <w:p w14:paraId="08784E93" w14:textId="77777777" w:rsidR="00826146" w:rsidRDefault="00826146">
            <w:pPr>
              <w:spacing w:after="120"/>
              <w:jc w:val="center"/>
            </w:pPr>
          </w:p>
        </w:tc>
        <w:tc>
          <w:tcPr>
            <w:tcW w:w="1466" w:type="dxa"/>
          </w:tcPr>
          <w:p w14:paraId="0A6B1694" w14:textId="77777777" w:rsidR="00826146" w:rsidRDefault="00826146">
            <w:pPr>
              <w:spacing w:after="120"/>
              <w:jc w:val="center"/>
            </w:pPr>
          </w:p>
        </w:tc>
        <w:tc>
          <w:tcPr>
            <w:tcW w:w="1366" w:type="dxa"/>
          </w:tcPr>
          <w:p w14:paraId="494DCF95" w14:textId="77777777" w:rsidR="00826146" w:rsidRDefault="00826146">
            <w:pPr>
              <w:spacing w:after="120"/>
              <w:jc w:val="center"/>
            </w:pPr>
          </w:p>
        </w:tc>
        <w:tc>
          <w:tcPr>
            <w:tcW w:w="1135" w:type="dxa"/>
          </w:tcPr>
          <w:p w14:paraId="49215A39" w14:textId="77777777" w:rsidR="00826146" w:rsidRDefault="00826146">
            <w:pPr>
              <w:spacing w:after="120"/>
              <w:jc w:val="center"/>
            </w:pPr>
          </w:p>
        </w:tc>
        <w:tc>
          <w:tcPr>
            <w:tcW w:w="1448" w:type="dxa"/>
          </w:tcPr>
          <w:p w14:paraId="1F8F2768" w14:textId="77777777" w:rsidR="00826146" w:rsidRDefault="00826146">
            <w:pPr>
              <w:spacing w:after="120"/>
              <w:jc w:val="center"/>
            </w:pPr>
          </w:p>
        </w:tc>
      </w:tr>
      <w:tr w:rsidR="00826146" w14:paraId="0EE50D6B" w14:textId="77777777">
        <w:tc>
          <w:tcPr>
            <w:tcW w:w="2694" w:type="dxa"/>
          </w:tcPr>
          <w:p w14:paraId="3B29AE32" w14:textId="77777777" w:rsidR="00826146" w:rsidRDefault="00302192">
            <w:pPr>
              <w:spacing w:after="120"/>
              <w:jc w:val="both"/>
            </w:pPr>
            <w:r>
              <w:t>c) bugetul asigurărilor sociale de stat:</w:t>
            </w:r>
          </w:p>
          <w:p w14:paraId="490C89F5" w14:textId="77777777" w:rsidR="00826146" w:rsidRDefault="00302192">
            <w:pPr>
              <w:spacing w:after="120"/>
              <w:jc w:val="both"/>
            </w:pPr>
            <w:r>
              <w:t>(i) cheltuieli de personal</w:t>
            </w:r>
          </w:p>
          <w:p w14:paraId="01155506" w14:textId="77777777" w:rsidR="00826146" w:rsidRDefault="00302192">
            <w:pPr>
              <w:spacing w:after="120"/>
              <w:jc w:val="both"/>
            </w:pPr>
            <w:r>
              <w:t>(ii) bunuri şi servicii</w:t>
            </w:r>
          </w:p>
        </w:tc>
        <w:tc>
          <w:tcPr>
            <w:tcW w:w="1058" w:type="dxa"/>
          </w:tcPr>
          <w:p w14:paraId="2A6B7291" w14:textId="77777777" w:rsidR="00826146" w:rsidRDefault="00826146">
            <w:pPr>
              <w:spacing w:after="120"/>
              <w:jc w:val="center"/>
            </w:pPr>
          </w:p>
        </w:tc>
        <w:tc>
          <w:tcPr>
            <w:tcW w:w="1366" w:type="dxa"/>
          </w:tcPr>
          <w:p w14:paraId="7716DEAB" w14:textId="77777777" w:rsidR="00826146" w:rsidRDefault="00826146">
            <w:pPr>
              <w:spacing w:after="120"/>
              <w:jc w:val="center"/>
            </w:pPr>
          </w:p>
        </w:tc>
        <w:tc>
          <w:tcPr>
            <w:tcW w:w="1466" w:type="dxa"/>
          </w:tcPr>
          <w:p w14:paraId="43694217" w14:textId="77777777" w:rsidR="00826146" w:rsidRDefault="00826146">
            <w:pPr>
              <w:spacing w:after="120"/>
              <w:jc w:val="center"/>
            </w:pPr>
          </w:p>
        </w:tc>
        <w:tc>
          <w:tcPr>
            <w:tcW w:w="1366" w:type="dxa"/>
          </w:tcPr>
          <w:p w14:paraId="3819473F" w14:textId="77777777" w:rsidR="00826146" w:rsidRDefault="00826146">
            <w:pPr>
              <w:spacing w:after="120"/>
              <w:jc w:val="center"/>
            </w:pPr>
          </w:p>
        </w:tc>
        <w:tc>
          <w:tcPr>
            <w:tcW w:w="1135" w:type="dxa"/>
          </w:tcPr>
          <w:p w14:paraId="3CCEFC07" w14:textId="77777777" w:rsidR="00826146" w:rsidRDefault="00826146">
            <w:pPr>
              <w:spacing w:after="120"/>
              <w:jc w:val="center"/>
            </w:pPr>
          </w:p>
        </w:tc>
        <w:tc>
          <w:tcPr>
            <w:tcW w:w="1448" w:type="dxa"/>
          </w:tcPr>
          <w:p w14:paraId="6BA75E99" w14:textId="77777777" w:rsidR="00826146" w:rsidRDefault="00826146">
            <w:pPr>
              <w:spacing w:after="120"/>
              <w:jc w:val="center"/>
            </w:pPr>
          </w:p>
        </w:tc>
      </w:tr>
      <w:tr w:rsidR="00826146" w14:paraId="35268D36" w14:textId="77777777">
        <w:tc>
          <w:tcPr>
            <w:tcW w:w="2694" w:type="dxa"/>
          </w:tcPr>
          <w:p w14:paraId="044082D7" w14:textId="77777777" w:rsidR="00826146" w:rsidRDefault="00302192">
            <w:pPr>
              <w:spacing w:after="120"/>
              <w:jc w:val="both"/>
            </w:pPr>
            <w:r>
              <w:t>d) alte tipuri de cheltuieli</w:t>
            </w:r>
          </w:p>
          <w:p w14:paraId="39E811BA" w14:textId="77777777" w:rsidR="00826146" w:rsidRDefault="00302192">
            <w:pPr>
              <w:spacing w:after="120"/>
              <w:jc w:val="both"/>
            </w:pPr>
            <w:r>
              <w:t>(Se va menționa natura acestora.)</w:t>
            </w:r>
          </w:p>
        </w:tc>
        <w:tc>
          <w:tcPr>
            <w:tcW w:w="1058" w:type="dxa"/>
          </w:tcPr>
          <w:p w14:paraId="16FCD913" w14:textId="77777777" w:rsidR="00826146" w:rsidRDefault="00826146">
            <w:pPr>
              <w:spacing w:after="120"/>
              <w:jc w:val="center"/>
            </w:pPr>
          </w:p>
        </w:tc>
        <w:tc>
          <w:tcPr>
            <w:tcW w:w="1366" w:type="dxa"/>
          </w:tcPr>
          <w:p w14:paraId="7D2072D5" w14:textId="77777777" w:rsidR="00826146" w:rsidRDefault="00826146">
            <w:pPr>
              <w:spacing w:after="120"/>
              <w:jc w:val="center"/>
            </w:pPr>
          </w:p>
        </w:tc>
        <w:tc>
          <w:tcPr>
            <w:tcW w:w="1466" w:type="dxa"/>
          </w:tcPr>
          <w:p w14:paraId="60E259C7" w14:textId="77777777" w:rsidR="00826146" w:rsidRDefault="00826146">
            <w:pPr>
              <w:spacing w:after="120"/>
              <w:jc w:val="center"/>
            </w:pPr>
          </w:p>
        </w:tc>
        <w:tc>
          <w:tcPr>
            <w:tcW w:w="1366" w:type="dxa"/>
          </w:tcPr>
          <w:p w14:paraId="669AFFA2" w14:textId="77777777" w:rsidR="00826146" w:rsidRDefault="00826146">
            <w:pPr>
              <w:spacing w:after="120"/>
              <w:jc w:val="center"/>
            </w:pPr>
          </w:p>
        </w:tc>
        <w:tc>
          <w:tcPr>
            <w:tcW w:w="1135" w:type="dxa"/>
          </w:tcPr>
          <w:p w14:paraId="634DC99C" w14:textId="77777777" w:rsidR="00826146" w:rsidRDefault="00826146">
            <w:pPr>
              <w:spacing w:after="120"/>
              <w:jc w:val="center"/>
            </w:pPr>
          </w:p>
        </w:tc>
        <w:tc>
          <w:tcPr>
            <w:tcW w:w="1448" w:type="dxa"/>
          </w:tcPr>
          <w:p w14:paraId="3A3C44C2" w14:textId="77777777" w:rsidR="00826146" w:rsidRDefault="00826146">
            <w:pPr>
              <w:spacing w:after="120"/>
              <w:jc w:val="center"/>
            </w:pPr>
          </w:p>
        </w:tc>
      </w:tr>
      <w:tr w:rsidR="00826146" w14:paraId="4ADB49E8" w14:textId="77777777">
        <w:tc>
          <w:tcPr>
            <w:tcW w:w="2694" w:type="dxa"/>
          </w:tcPr>
          <w:p w14:paraId="23041614" w14:textId="77777777" w:rsidR="00826146" w:rsidRDefault="00302192">
            <w:pPr>
              <w:spacing w:after="120"/>
              <w:jc w:val="both"/>
              <w:rPr>
                <w:b/>
                <w:bCs/>
              </w:rPr>
            </w:pPr>
            <w:r>
              <w:rPr>
                <w:b/>
                <w:bCs/>
              </w:rPr>
              <w:t>4.3. Impact financiar, plus/minus, din care:</w:t>
            </w:r>
          </w:p>
          <w:p w14:paraId="6ECFBF5A" w14:textId="77777777" w:rsidR="00826146" w:rsidRDefault="00302192">
            <w:pPr>
              <w:spacing w:after="120"/>
              <w:jc w:val="both"/>
            </w:pPr>
            <w:r>
              <w:t>a) buget de stat</w:t>
            </w:r>
          </w:p>
        </w:tc>
        <w:tc>
          <w:tcPr>
            <w:tcW w:w="1058" w:type="dxa"/>
          </w:tcPr>
          <w:p w14:paraId="32ECC17A" w14:textId="77777777" w:rsidR="00826146" w:rsidRDefault="00826146">
            <w:pPr>
              <w:spacing w:after="120"/>
              <w:jc w:val="center"/>
            </w:pPr>
          </w:p>
        </w:tc>
        <w:tc>
          <w:tcPr>
            <w:tcW w:w="1366" w:type="dxa"/>
          </w:tcPr>
          <w:p w14:paraId="3FC740CF" w14:textId="77777777" w:rsidR="00826146" w:rsidRDefault="00826146">
            <w:pPr>
              <w:spacing w:after="120"/>
              <w:jc w:val="center"/>
            </w:pPr>
          </w:p>
        </w:tc>
        <w:tc>
          <w:tcPr>
            <w:tcW w:w="1466" w:type="dxa"/>
          </w:tcPr>
          <w:p w14:paraId="5A0E16B8" w14:textId="77777777" w:rsidR="00826146" w:rsidRDefault="00826146">
            <w:pPr>
              <w:spacing w:after="120"/>
              <w:jc w:val="center"/>
            </w:pPr>
          </w:p>
        </w:tc>
        <w:tc>
          <w:tcPr>
            <w:tcW w:w="1366" w:type="dxa"/>
          </w:tcPr>
          <w:p w14:paraId="698A82A8" w14:textId="77777777" w:rsidR="00826146" w:rsidRDefault="00826146">
            <w:pPr>
              <w:spacing w:after="120"/>
              <w:jc w:val="center"/>
            </w:pPr>
          </w:p>
        </w:tc>
        <w:tc>
          <w:tcPr>
            <w:tcW w:w="1135" w:type="dxa"/>
          </w:tcPr>
          <w:p w14:paraId="01C363DE" w14:textId="77777777" w:rsidR="00826146" w:rsidRDefault="00826146">
            <w:pPr>
              <w:spacing w:after="120"/>
              <w:jc w:val="center"/>
            </w:pPr>
          </w:p>
        </w:tc>
        <w:tc>
          <w:tcPr>
            <w:tcW w:w="1448" w:type="dxa"/>
          </w:tcPr>
          <w:p w14:paraId="3FDAE04A" w14:textId="77777777" w:rsidR="00826146" w:rsidRDefault="00826146">
            <w:pPr>
              <w:spacing w:after="120"/>
              <w:jc w:val="center"/>
            </w:pPr>
          </w:p>
        </w:tc>
      </w:tr>
      <w:tr w:rsidR="00826146" w14:paraId="602C5090" w14:textId="77777777">
        <w:tc>
          <w:tcPr>
            <w:tcW w:w="2694" w:type="dxa"/>
          </w:tcPr>
          <w:p w14:paraId="59AF1DA6" w14:textId="77777777" w:rsidR="00826146" w:rsidRDefault="00302192">
            <w:pPr>
              <w:spacing w:after="120"/>
              <w:jc w:val="both"/>
            </w:pPr>
            <w:r>
              <w:t>b) bugete locale</w:t>
            </w:r>
          </w:p>
        </w:tc>
        <w:tc>
          <w:tcPr>
            <w:tcW w:w="1058" w:type="dxa"/>
          </w:tcPr>
          <w:p w14:paraId="2E115760" w14:textId="77777777" w:rsidR="00826146" w:rsidRDefault="00826146">
            <w:pPr>
              <w:spacing w:after="120"/>
              <w:jc w:val="center"/>
            </w:pPr>
          </w:p>
        </w:tc>
        <w:tc>
          <w:tcPr>
            <w:tcW w:w="1366" w:type="dxa"/>
          </w:tcPr>
          <w:p w14:paraId="6A51D131" w14:textId="77777777" w:rsidR="00826146" w:rsidRDefault="00826146">
            <w:pPr>
              <w:spacing w:after="120"/>
              <w:jc w:val="center"/>
            </w:pPr>
          </w:p>
        </w:tc>
        <w:tc>
          <w:tcPr>
            <w:tcW w:w="1466" w:type="dxa"/>
          </w:tcPr>
          <w:p w14:paraId="5FD34467" w14:textId="77777777" w:rsidR="00826146" w:rsidRDefault="00826146">
            <w:pPr>
              <w:spacing w:after="120"/>
              <w:jc w:val="center"/>
            </w:pPr>
          </w:p>
        </w:tc>
        <w:tc>
          <w:tcPr>
            <w:tcW w:w="1366" w:type="dxa"/>
          </w:tcPr>
          <w:p w14:paraId="46F40A12" w14:textId="77777777" w:rsidR="00826146" w:rsidRDefault="00826146">
            <w:pPr>
              <w:spacing w:after="120"/>
              <w:jc w:val="center"/>
            </w:pPr>
          </w:p>
        </w:tc>
        <w:tc>
          <w:tcPr>
            <w:tcW w:w="1135" w:type="dxa"/>
          </w:tcPr>
          <w:p w14:paraId="1B332889" w14:textId="77777777" w:rsidR="00826146" w:rsidRDefault="00826146">
            <w:pPr>
              <w:spacing w:after="120"/>
              <w:jc w:val="center"/>
            </w:pPr>
          </w:p>
        </w:tc>
        <w:tc>
          <w:tcPr>
            <w:tcW w:w="1448" w:type="dxa"/>
          </w:tcPr>
          <w:p w14:paraId="14A6DB00" w14:textId="77777777" w:rsidR="00826146" w:rsidRDefault="00826146">
            <w:pPr>
              <w:spacing w:after="120"/>
              <w:jc w:val="center"/>
            </w:pPr>
          </w:p>
        </w:tc>
      </w:tr>
      <w:tr w:rsidR="00826146" w14:paraId="089A4525" w14:textId="77777777">
        <w:tc>
          <w:tcPr>
            <w:tcW w:w="2694" w:type="dxa"/>
          </w:tcPr>
          <w:p w14:paraId="1F1B7BAE" w14:textId="77777777" w:rsidR="00826146" w:rsidRDefault="00302192">
            <w:pPr>
              <w:spacing w:after="120"/>
              <w:jc w:val="both"/>
              <w:rPr>
                <w:b/>
                <w:bCs/>
              </w:rPr>
            </w:pPr>
            <w:r>
              <w:rPr>
                <w:b/>
                <w:bCs/>
              </w:rPr>
              <w:t>4.4. Propuneri pentru acoperirea creşterii cheltuielilor bugetare</w:t>
            </w:r>
          </w:p>
        </w:tc>
        <w:tc>
          <w:tcPr>
            <w:tcW w:w="1058" w:type="dxa"/>
          </w:tcPr>
          <w:p w14:paraId="7C64941B" w14:textId="77777777" w:rsidR="00826146" w:rsidRDefault="00826146">
            <w:pPr>
              <w:spacing w:after="120"/>
              <w:jc w:val="center"/>
            </w:pPr>
          </w:p>
        </w:tc>
        <w:tc>
          <w:tcPr>
            <w:tcW w:w="1366" w:type="dxa"/>
          </w:tcPr>
          <w:p w14:paraId="3992BE1B" w14:textId="77777777" w:rsidR="00826146" w:rsidRDefault="00826146">
            <w:pPr>
              <w:spacing w:after="120"/>
              <w:jc w:val="center"/>
            </w:pPr>
          </w:p>
        </w:tc>
        <w:tc>
          <w:tcPr>
            <w:tcW w:w="1466" w:type="dxa"/>
          </w:tcPr>
          <w:p w14:paraId="4D93D3AC" w14:textId="77777777" w:rsidR="00826146" w:rsidRDefault="00826146">
            <w:pPr>
              <w:spacing w:after="120"/>
              <w:jc w:val="center"/>
            </w:pPr>
          </w:p>
        </w:tc>
        <w:tc>
          <w:tcPr>
            <w:tcW w:w="1366" w:type="dxa"/>
          </w:tcPr>
          <w:p w14:paraId="3B2C3A5D" w14:textId="77777777" w:rsidR="00826146" w:rsidRDefault="00826146">
            <w:pPr>
              <w:spacing w:after="120"/>
              <w:jc w:val="center"/>
            </w:pPr>
          </w:p>
        </w:tc>
        <w:tc>
          <w:tcPr>
            <w:tcW w:w="1135" w:type="dxa"/>
          </w:tcPr>
          <w:p w14:paraId="2AC7C333" w14:textId="77777777" w:rsidR="00826146" w:rsidRDefault="00826146">
            <w:pPr>
              <w:spacing w:after="120"/>
              <w:jc w:val="center"/>
            </w:pPr>
          </w:p>
        </w:tc>
        <w:tc>
          <w:tcPr>
            <w:tcW w:w="1448" w:type="dxa"/>
          </w:tcPr>
          <w:p w14:paraId="4C9844F5" w14:textId="77777777" w:rsidR="00826146" w:rsidRDefault="00826146">
            <w:pPr>
              <w:spacing w:after="120"/>
              <w:jc w:val="center"/>
            </w:pPr>
          </w:p>
        </w:tc>
      </w:tr>
      <w:tr w:rsidR="00826146" w14:paraId="7CFE37A9" w14:textId="77777777">
        <w:tc>
          <w:tcPr>
            <w:tcW w:w="2694" w:type="dxa"/>
          </w:tcPr>
          <w:p w14:paraId="215B63A0" w14:textId="77777777" w:rsidR="00826146" w:rsidRDefault="00302192">
            <w:pPr>
              <w:spacing w:after="120"/>
              <w:jc w:val="both"/>
              <w:rPr>
                <w:b/>
                <w:bCs/>
              </w:rPr>
            </w:pPr>
            <w:r>
              <w:rPr>
                <w:b/>
                <w:bCs/>
              </w:rPr>
              <w:t>4.5. Propuneri pentru a compensa reducerea veniturilor bugetare</w:t>
            </w:r>
          </w:p>
        </w:tc>
        <w:tc>
          <w:tcPr>
            <w:tcW w:w="1058" w:type="dxa"/>
          </w:tcPr>
          <w:p w14:paraId="4A09BA08" w14:textId="77777777" w:rsidR="00826146" w:rsidRDefault="00826146">
            <w:pPr>
              <w:spacing w:after="120"/>
              <w:jc w:val="center"/>
            </w:pPr>
          </w:p>
        </w:tc>
        <w:tc>
          <w:tcPr>
            <w:tcW w:w="1366" w:type="dxa"/>
          </w:tcPr>
          <w:p w14:paraId="723294A1" w14:textId="77777777" w:rsidR="00826146" w:rsidRDefault="00826146">
            <w:pPr>
              <w:spacing w:after="120"/>
              <w:jc w:val="center"/>
            </w:pPr>
          </w:p>
        </w:tc>
        <w:tc>
          <w:tcPr>
            <w:tcW w:w="1466" w:type="dxa"/>
          </w:tcPr>
          <w:p w14:paraId="197CC885" w14:textId="77777777" w:rsidR="00826146" w:rsidRDefault="00826146">
            <w:pPr>
              <w:spacing w:after="120"/>
              <w:jc w:val="center"/>
            </w:pPr>
          </w:p>
        </w:tc>
        <w:tc>
          <w:tcPr>
            <w:tcW w:w="1366" w:type="dxa"/>
          </w:tcPr>
          <w:p w14:paraId="63255CAC" w14:textId="77777777" w:rsidR="00826146" w:rsidRDefault="00826146">
            <w:pPr>
              <w:spacing w:after="120"/>
              <w:jc w:val="center"/>
            </w:pPr>
          </w:p>
        </w:tc>
        <w:tc>
          <w:tcPr>
            <w:tcW w:w="1135" w:type="dxa"/>
          </w:tcPr>
          <w:p w14:paraId="2B6121D4" w14:textId="77777777" w:rsidR="00826146" w:rsidRDefault="00826146">
            <w:pPr>
              <w:spacing w:after="120"/>
              <w:jc w:val="center"/>
            </w:pPr>
          </w:p>
        </w:tc>
        <w:tc>
          <w:tcPr>
            <w:tcW w:w="1448" w:type="dxa"/>
          </w:tcPr>
          <w:p w14:paraId="485B98B5" w14:textId="77777777" w:rsidR="00826146" w:rsidRDefault="00826146">
            <w:pPr>
              <w:spacing w:after="120"/>
              <w:jc w:val="center"/>
            </w:pPr>
          </w:p>
        </w:tc>
      </w:tr>
      <w:tr w:rsidR="00826146" w14:paraId="52AD99D2" w14:textId="77777777">
        <w:tc>
          <w:tcPr>
            <w:tcW w:w="2694" w:type="dxa"/>
          </w:tcPr>
          <w:p w14:paraId="3FAA3B6A" w14:textId="77777777" w:rsidR="00826146" w:rsidRDefault="00302192">
            <w:pPr>
              <w:spacing w:after="120"/>
              <w:jc w:val="both"/>
              <w:rPr>
                <w:b/>
                <w:bCs/>
              </w:rPr>
            </w:pPr>
            <w:r>
              <w:rPr>
                <w:b/>
                <w:bCs/>
              </w:rPr>
              <w:lastRenderedPageBreak/>
              <w:t>4.6. Calcule detaliate privind fundamentarea modificărilor  veniturilor şi/sau cheltuielilor bugetare</w:t>
            </w:r>
          </w:p>
        </w:tc>
        <w:tc>
          <w:tcPr>
            <w:tcW w:w="1058" w:type="dxa"/>
          </w:tcPr>
          <w:p w14:paraId="00B63671" w14:textId="77777777" w:rsidR="00826146" w:rsidRDefault="00826146">
            <w:pPr>
              <w:spacing w:after="120"/>
              <w:jc w:val="center"/>
            </w:pPr>
          </w:p>
        </w:tc>
        <w:tc>
          <w:tcPr>
            <w:tcW w:w="1366" w:type="dxa"/>
          </w:tcPr>
          <w:p w14:paraId="695333DD" w14:textId="77777777" w:rsidR="00826146" w:rsidRDefault="00826146">
            <w:pPr>
              <w:spacing w:after="120"/>
              <w:jc w:val="center"/>
            </w:pPr>
          </w:p>
        </w:tc>
        <w:tc>
          <w:tcPr>
            <w:tcW w:w="1466" w:type="dxa"/>
          </w:tcPr>
          <w:p w14:paraId="37F98293" w14:textId="77777777" w:rsidR="00826146" w:rsidRDefault="00826146">
            <w:pPr>
              <w:spacing w:after="120"/>
              <w:jc w:val="center"/>
            </w:pPr>
          </w:p>
        </w:tc>
        <w:tc>
          <w:tcPr>
            <w:tcW w:w="1366" w:type="dxa"/>
          </w:tcPr>
          <w:p w14:paraId="7A1305CF" w14:textId="77777777" w:rsidR="00826146" w:rsidRDefault="00826146">
            <w:pPr>
              <w:spacing w:after="120"/>
              <w:jc w:val="center"/>
            </w:pPr>
          </w:p>
        </w:tc>
        <w:tc>
          <w:tcPr>
            <w:tcW w:w="1135" w:type="dxa"/>
          </w:tcPr>
          <w:p w14:paraId="46D2D02F" w14:textId="77777777" w:rsidR="00826146" w:rsidRDefault="00826146">
            <w:pPr>
              <w:spacing w:after="120"/>
              <w:jc w:val="center"/>
            </w:pPr>
          </w:p>
        </w:tc>
        <w:tc>
          <w:tcPr>
            <w:tcW w:w="1448" w:type="dxa"/>
          </w:tcPr>
          <w:p w14:paraId="208969D3" w14:textId="77777777" w:rsidR="00826146" w:rsidRDefault="00826146">
            <w:pPr>
              <w:spacing w:after="120"/>
              <w:jc w:val="center"/>
            </w:pPr>
          </w:p>
        </w:tc>
      </w:tr>
      <w:tr w:rsidR="00826146" w14:paraId="74665B7B" w14:textId="77777777">
        <w:tc>
          <w:tcPr>
            <w:tcW w:w="10533" w:type="dxa"/>
            <w:gridSpan w:val="7"/>
          </w:tcPr>
          <w:p w14:paraId="68F2E2C8" w14:textId="77777777" w:rsidR="00826146" w:rsidRDefault="00302192" w:rsidP="00A11856">
            <w:pPr>
              <w:jc w:val="both"/>
              <w:rPr>
                <w:b/>
                <w:bCs/>
              </w:rPr>
            </w:pPr>
            <w:r>
              <w:rPr>
                <w:b/>
                <w:bCs/>
              </w:rPr>
              <w:t>4.7. Prezentarea, în cazul proiectelor de acte normative a căror adaptare atrage majorarea cheltuielilor bugetare, a următoarelor documente:</w:t>
            </w:r>
          </w:p>
          <w:p w14:paraId="48F2F629" w14:textId="77777777" w:rsidR="00826146" w:rsidRDefault="00302192" w:rsidP="00A11856">
            <w:pPr>
              <w:jc w:val="both"/>
            </w:pPr>
            <w:r>
              <w:t>a) fișa financiară prevăzută la art. 15 din Legea nr. 500/2002 privind finanțele publice, cu modificările și completările ulterioare, însoțită de ipotezele și metodologia de calcul utilizată;</w:t>
            </w:r>
          </w:p>
          <w:p w14:paraId="2BDA6521" w14:textId="77777777" w:rsidR="00826146" w:rsidRDefault="00302192" w:rsidP="00A11856">
            <w:pPr>
              <w:jc w:val="both"/>
            </w:pPr>
            <w: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r>
      <w:tr w:rsidR="00826146" w14:paraId="7A3B020E" w14:textId="77777777">
        <w:tc>
          <w:tcPr>
            <w:tcW w:w="10533" w:type="dxa"/>
            <w:gridSpan w:val="7"/>
          </w:tcPr>
          <w:p w14:paraId="15D07C3E" w14:textId="77777777" w:rsidR="00826146" w:rsidRDefault="00302192">
            <w:pPr>
              <w:spacing w:after="120"/>
              <w:rPr>
                <w:b/>
                <w:bCs/>
              </w:rPr>
            </w:pPr>
            <w:r>
              <w:rPr>
                <w:b/>
                <w:bCs/>
              </w:rPr>
              <w:t>4.8. Alte informații</w:t>
            </w:r>
          </w:p>
        </w:tc>
      </w:tr>
    </w:tbl>
    <w:p w14:paraId="44CAC161" w14:textId="77777777" w:rsidR="00826146" w:rsidRDefault="00302192" w:rsidP="005750FB">
      <w:pPr>
        <w:spacing w:after="120"/>
        <w:jc w:val="both"/>
        <w:rPr>
          <w:b/>
        </w:rPr>
      </w:pPr>
      <w:r>
        <w:rPr>
          <w:b/>
        </w:rPr>
        <w:t xml:space="preserve">   Secţiunea a 5-a </w:t>
      </w:r>
    </w:p>
    <w:p w14:paraId="31698E77" w14:textId="77777777" w:rsidR="00826146" w:rsidRDefault="00302192">
      <w:pPr>
        <w:spacing w:after="120"/>
        <w:ind w:firstLine="720"/>
        <w:jc w:val="both"/>
        <w:rPr>
          <w:b/>
        </w:rPr>
      </w:pPr>
      <w:r>
        <w:rPr>
          <w:b/>
        </w:rPr>
        <w:t>Efectele proiectului de act normativ asupra legislaţiei în vigoare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3"/>
      </w:tblGrid>
      <w:tr w:rsidR="00826146" w14:paraId="620E3361" w14:textId="77777777">
        <w:trPr>
          <w:trHeight w:val="561"/>
        </w:trPr>
        <w:tc>
          <w:tcPr>
            <w:tcW w:w="10533" w:type="dxa"/>
          </w:tcPr>
          <w:p w14:paraId="23DF5B44" w14:textId="77777777" w:rsidR="00714C07" w:rsidRDefault="00302192" w:rsidP="00714C07">
            <w:pPr>
              <w:jc w:val="both"/>
              <w:rPr>
                <w:b/>
                <w:bCs/>
              </w:rPr>
            </w:pPr>
            <w:r>
              <w:rPr>
                <w:b/>
                <w:bCs/>
              </w:rPr>
              <w:t>5.1. Măsuri normative necesare pentru aplicarea prevederilor proiectului de act normativ</w:t>
            </w:r>
          </w:p>
          <w:p w14:paraId="33999D54" w14:textId="77777777" w:rsidR="00714C07" w:rsidRDefault="00302192" w:rsidP="00714C07">
            <w:pPr>
              <w:jc w:val="both"/>
              <w:rPr>
                <w:b/>
                <w:bCs/>
              </w:rPr>
            </w:pPr>
            <w:r>
              <w:rPr>
                <w:b/>
                <w:bCs/>
              </w:rPr>
              <w:t>a) acte normative ce vor fi modificate sau abrogate ca urmare a intrării în vigoare a proiectului de act normativ.</w:t>
            </w:r>
          </w:p>
          <w:p w14:paraId="16E8C662" w14:textId="17FF2E22" w:rsidR="00A3269F" w:rsidRPr="00714C07" w:rsidRDefault="00AA4590" w:rsidP="00714C07">
            <w:pPr>
              <w:jc w:val="both"/>
              <w:rPr>
                <w:b/>
                <w:bCs/>
              </w:rPr>
            </w:pPr>
            <w:r w:rsidRPr="00A3269F">
              <w:rPr>
                <w:rFonts w:ascii="Trebuchet MS" w:hAnsi="Trebuchet MS"/>
                <w:sz w:val="22"/>
                <w:szCs w:val="22"/>
              </w:rPr>
              <w:t>Legea nr. 207/2015 privind Codul de procedură fiscală, cu modificările și completările ulterioare</w:t>
            </w:r>
          </w:p>
          <w:p w14:paraId="33CDE9E3" w14:textId="3A1387C6" w:rsidR="00A3269F" w:rsidRPr="00DE15FC" w:rsidRDefault="00302192" w:rsidP="00714C07">
            <w:pPr>
              <w:tabs>
                <w:tab w:val="left" w:pos="201"/>
              </w:tabs>
              <w:jc w:val="both"/>
              <w:rPr>
                <w:color w:val="FF0000"/>
              </w:rPr>
            </w:pPr>
            <w:r>
              <w:rPr>
                <w:b/>
                <w:bCs/>
              </w:rPr>
              <w:t>5.2. Impactul asupra legislației în domeniul achizițiilor publice</w:t>
            </w:r>
            <w:r>
              <w:rPr>
                <w:color w:val="FF0000"/>
              </w:rPr>
              <w:t xml:space="preserve">    </w:t>
            </w:r>
          </w:p>
          <w:p w14:paraId="04606590" w14:textId="7362E3E6" w:rsidR="00826146" w:rsidRDefault="00302192" w:rsidP="005750FB">
            <w:pPr>
              <w:tabs>
                <w:tab w:val="left" w:pos="201"/>
              </w:tabs>
              <w:jc w:val="both"/>
              <w:rPr>
                <w:b/>
                <w:bCs/>
              </w:rPr>
            </w:pPr>
            <w:r>
              <w:rPr>
                <w:b/>
                <w:bCs/>
              </w:rPr>
              <w:t>5.3. Conformitatea  proiectului de act normativ cu legislaţia UE (în cazul proiectelor ce transpun sau asigură aplicarea unor prevederi de drept UE)</w:t>
            </w:r>
          </w:p>
          <w:p w14:paraId="0BDF7BD3" w14:textId="43632C11" w:rsidR="00A3269F" w:rsidRPr="00A3269F" w:rsidRDefault="00AA4590" w:rsidP="005750FB">
            <w:pPr>
              <w:tabs>
                <w:tab w:val="left" w:pos="201"/>
              </w:tabs>
              <w:jc w:val="both"/>
              <w:rPr>
                <w:b/>
                <w:bCs/>
                <w:sz w:val="22"/>
                <w:szCs w:val="22"/>
              </w:rPr>
            </w:pPr>
            <w:r w:rsidRPr="00A3269F">
              <w:rPr>
                <w:rFonts w:ascii="Trebuchet MS" w:hAnsi="Trebuchet MS"/>
                <w:sz w:val="22"/>
                <w:szCs w:val="22"/>
              </w:rPr>
              <w:t xml:space="preserve">Actul normativ asigură conformarea cu prevederile Directivei </w:t>
            </w:r>
            <w:r w:rsidR="00664488">
              <w:rPr>
                <w:rFonts w:ascii="Trebuchet MS" w:hAnsi="Trebuchet MS"/>
                <w:sz w:val="22"/>
                <w:szCs w:val="22"/>
              </w:rPr>
              <w:t>(</w:t>
            </w:r>
            <w:r w:rsidRPr="00A3269F">
              <w:rPr>
                <w:rFonts w:ascii="Trebuchet MS" w:hAnsi="Trebuchet MS"/>
                <w:sz w:val="22"/>
                <w:szCs w:val="22"/>
              </w:rPr>
              <w:t>UE</w:t>
            </w:r>
            <w:r w:rsidR="00664488">
              <w:rPr>
                <w:rFonts w:ascii="Trebuchet MS" w:hAnsi="Trebuchet MS"/>
                <w:sz w:val="22"/>
                <w:szCs w:val="22"/>
              </w:rPr>
              <w:t xml:space="preserve">) </w:t>
            </w:r>
            <w:r w:rsidRPr="00A3269F">
              <w:rPr>
                <w:rFonts w:ascii="Trebuchet MS" w:hAnsi="Trebuchet MS"/>
                <w:sz w:val="22"/>
                <w:szCs w:val="22"/>
              </w:rPr>
              <w:t>2021/514 A CONSILIULUI de modificare a Directivei 2011/16/UE privind cooperarea administrativă în domeniul fiscal.</w:t>
            </w:r>
          </w:p>
          <w:p w14:paraId="7FDF8C47" w14:textId="4314B138" w:rsidR="00826146" w:rsidRDefault="00302192" w:rsidP="005750FB">
            <w:pPr>
              <w:tabs>
                <w:tab w:val="left" w:pos="201"/>
              </w:tabs>
              <w:jc w:val="both"/>
              <w:rPr>
                <w:b/>
                <w:bCs/>
              </w:rPr>
            </w:pPr>
            <w:r>
              <w:rPr>
                <w:b/>
                <w:bCs/>
              </w:rPr>
              <w:t>5.3.1. Măsuri normative necesare transpunerii directivelor UE</w:t>
            </w:r>
          </w:p>
          <w:p w14:paraId="40F58885" w14:textId="4E9E5B6C" w:rsidR="00A3269F" w:rsidRPr="00DE15FC" w:rsidRDefault="00A3269F" w:rsidP="005750FB">
            <w:pPr>
              <w:tabs>
                <w:tab w:val="left" w:pos="201"/>
              </w:tabs>
              <w:jc w:val="both"/>
              <w:rPr>
                <w:b/>
                <w:bCs/>
                <w:sz w:val="22"/>
                <w:szCs w:val="22"/>
              </w:rPr>
            </w:pPr>
            <w:r>
              <w:rPr>
                <w:rFonts w:ascii="Trebuchet MS" w:hAnsi="Trebuchet MS"/>
                <w:iCs/>
                <w:color w:val="000000"/>
                <w:sz w:val="22"/>
                <w:szCs w:val="22"/>
              </w:rPr>
              <w:t xml:space="preserve">Ordonanța asigură transpunerea </w:t>
            </w:r>
            <w:r w:rsidR="00AA4590" w:rsidRPr="00A3269F">
              <w:rPr>
                <w:rFonts w:ascii="Trebuchet MS" w:hAnsi="Trebuchet MS"/>
                <w:iCs/>
                <w:color w:val="000000"/>
                <w:sz w:val="22"/>
                <w:szCs w:val="22"/>
              </w:rPr>
              <w:t xml:space="preserve">Directivei </w:t>
            </w:r>
            <w:r w:rsidR="00664488">
              <w:rPr>
                <w:rFonts w:ascii="Trebuchet MS" w:hAnsi="Trebuchet MS"/>
                <w:iCs/>
                <w:color w:val="000000"/>
                <w:sz w:val="22"/>
                <w:szCs w:val="22"/>
              </w:rPr>
              <w:t>(</w:t>
            </w:r>
            <w:r w:rsidR="00AA4590" w:rsidRPr="00A3269F">
              <w:rPr>
                <w:rFonts w:ascii="Trebuchet MS" w:hAnsi="Trebuchet MS"/>
                <w:iCs/>
                <w:color w:val="000000"/>
                <w:sz w:val="22"/>
                <w:szCs w:val="22"/>
              </w:rPr>
              <w:t>UE</w:t>
            </w:r>
            <w:r w:rsidR="00664488">
              <w:rPr>
                <w:rFonts w:ascii="Trebuchet MS" w:hAnsi="Trebuchet MS"/>
                <w:iCs/>
                <w:color w:val="000000"/>
                <w:sz w:val="22"/>
                <w:szCs w:val="22"/>
              </w:rPr>
              <w:t xml:space="preserve">) </w:t>
            </w:r>
            <w:r w:rsidR="00AA4590" w:rsidRPr="00A3269F">
              <w:rPr>
                <w:rFonts w:ascii="Trebuchet MS" w:hAnsi="Trebuchet MS"/>
                <w:iCs/>
                <w:color w:val="000000"/>
                <w:sz w:val="22"/>
                <w:szCs w:val="22"/>
              </w:rPr>
              <w:t>2021/514 A CONSILIULUI de modificare a Directivei 2011/16/UE privind cooperarea administrativă în domeniul fiscal. Scopul principal al actului normativ este acela de a preveni și de a combate situațiile de neconformare cu legislația fiscală în cazul serviciilor puse la dispoziție prin intermediul platformelor online. Astfel, statele membre își pot proteja bazele naționale de impozitare prin efectuarea unui schimb de informații ce vizează vânzătorii raportabili înscriși pe platformele online care realizează atât tranzacții interne, cât și transfrontaliere</w:t>
            </w:r>
          </w:p>
          <w:p w14:paraId="36ABDCC5" w14:textId="3A29571B" w:rsidR="00A3269F" w:rsidRDefault="00302192" w:rsidP="005750FB">
            <w:pPr>
              <w:tabs>
                <w:tab w:val="left" w:pos="201"/>
              </w:tabs>
              <w:jc w:val="both"/>
              <w:rPr>
                <w:b/>
                <w:bCs/>
              </w:rPr>
            </w:pPr>
            <w:r>
              <w:rPr>
                <w:b/>
                <w:bCs/>
              </w:rPr>
              <w:t>5.3.2. Măsuri normative necesare aplicării actelor legislative UE</w:t>
            </w:r>
          </w:p>
          <w:p w14:paraId="059C1C2D" w14:textId="4BC4A04B" w:rsidR="00AA4590" w:rsidRPr="00A3269F" w:rsidRDefault="00AA4590" w:rsidP="00AA4590">
            <w:pPr>
              <w:tabs>
                <w:tab w:val="left" w:pos="201"/>
              </w:tabs>
              <w:jc w:val="both"/>
              <w:rPr>
                <w:rFonts w:ascii="Trebuchet MS" w:hAnsi="Trebuchet MS"/>
                <w:bCs/>
                <w:sz w:val="22"/>
                <w:szCs w:val="22"/>
              </w:rPr>
            </w:pPr>
            <w:r w:rsidRPr="00A3269F">
              <w:rPr>
                <w:rFonts w:ascii="Trebuchet MS" w:hAnsi="Trebuchet MS"/>
                <w:bCs/>
                <w:sz w:val="22"/>
                <w:szCs w:val="22"/>
              </w:rPr>
              <w:t>Ordin al președintelui A.N.A.F. pentru aprobarea formularului utilizat de Operatorii de platforme care au obligația de raportare în vederea îndeplinirii obligației de raportare privind venituril</w:t>
            </w:r>
            <w:r w:rsidR="00F77354">
              <w:rPr>
                <w:rFonts w:ascii="Trebuchet MS" w:hAnsi="Trebuchet MS"/>
                <w:bCs/>
                <w:sz w:val="22"/>
                <w:szCs w:val="22"/>
              </w:rPr>
              <w:t>e</w:t>
            </w:r>
            <w:r w:rsidRPr="00A3269F">
              <w:rPr>
                <w:rFonts w:ascii="Trebuchet MS" w:hAnsi="Trebuchet MS"/>
                <w:bCs/>
                <w:sz w:val="22"/>
                <w:szCs w:val="22"/>
              </w:rPr>
              <w:t xml:space="preserve"> obținute de vânzătorii raportabili prin intermediul platformelor digitale;</w:t>
            </w:r>
          </w:p>
          <w:p w14:paraId="65D2C2D5" w14:textId="3CF18D14" w:rsidR="00F77354" w:rsidRPr="00F77354" w:rsidRDefault="00F77354" w:rsidP="005750FB">
            <w:pPr>
              <w:tabs>
                <w:tab w:val="left" w:pos="201"/>
              </w:tabs>
              <w:jc w:val="both"/>
              <w:rPr>
                <w:rFonts w:ascii="Trebuchet MS" w:hAnsi="Trebuchet MS"/>
                <w:sz w:val="22"/>
                <w:szCs w:val="22"/>
              </w:rPr>
            </w:pPr>
            <w:r w:rsidRPr="00F77354">
              <w:rPr>
                <w:rFonts w:ascii="Trebuchet MS" w:hAnsi="Trebuchet MS"/>
                <w:sz w:val="22"/>
                <w:szCs w:val="22"/>
              </w:rPr>
              <w:t>Ordin al președintelui A.N.A.F. pentru verificarea respectării, de către Operatorii de Platforme care au Obligația de Raportare, a procedurii de diligență fiscală și a procedurilor de raportare prevăzute în secțiunile II și III;</w:t>
            </w:r>
          </w:p>
          <w:p w14:paraId="213FC635" w14:textId="61EC0D2F" w:rsidR="00F77354" w:rsidRPr="00F77354" w:rsidRDefault="00F77354" w:rsidP="005750FB">
            <w:pPr>
              <w:tabs>
                <w:tab w:val="left" w:pos="201"/>
              </w:tabs>
              <w:jc w:val="both"/>
              <w:rPr>
                <w:rFonts w:ascii="Trebuchet MS" w:hAnsi="Trebuchet MS"/>
                <w:b/>
                <w:bCs/>
                <w:color w:val="FF0000"/>
                <w:sz w:val="22"/>
                <w:szCs w:val="22"/>
              </w:rPr>
            </w:pPr>
            <w:r w:rsidRPr="00F77354">
              <w:rPr>
                <w:rFonts w:ascii="Trebuchet MS" w:hAnsi="Trebuchet MS"/>
                <w:sz w:val="22"/>
                <w:szCs w:val="22"/>
              </w:rPr>
              <w:t>Ordin al președintelui A.N.A.F. prin care se vor stabili proceduri administrative de comunicare ulterioară cu Operatorul de Platformă care are Obligația de Raportare în situațiile în care informațiile raportate sunt incomplete sau incorecte.</w:t>
            </w:r>
          </w:p>
          <w:p w14:paraId="6268607E" w14:textId="77777777" w:rsidR="00826146" w:rsidRDefault="00302192" w:rsidP="005750FB">
            <w:pPr>
              <w:tabs>
                <w:tab w:val="left" w:pos="201"/>
              </w:tabs>
              <w:jc w:val="both"/>
              <w:rPr>
                <w:color w:val="FF0000"/>
              </w:rPr>
            </w:pPr>
            <w:r>
              <w:rPr>
                <w:b/>
                <w:bCs/>
              </w:rPr>
              <w:t xml:space="preserve">5.4. Hotărâri ale Curţii de Justiţie a Uniunii Europene - </w:t>
            </w:r>
          </w:p>
          <w:p w14:paraId="594AA98C" w14:textId="1FF18798" w:rsidR="00826146" w:rsidRDefault="00302192" w:rsidP="005750FB">
            <w:pPr>
              <w:tabs>
                <w:tab w:val="left" w:pos="201"/>
              </w:tabs>
              <w:jc w:val="both"/>
              <w:rPr>
                <w:color w:val="FF0000"/>
              </w:rPr>
            </w:pPr>
            <w:r>
              <w:rPr>
                <w:b/>
                <w:bCs/>
              </w:rPr>
              <w:t xml:space="preserve">5.5. Alte acte normative şi/sau documente internaţionale din care decurg angajamente </w:t>
            </w:r>
            <w:r w:rsidR="001437D1">
              <w:rPr>
                <w:b/>
                <w:bCs/>
              </w:rPr>
              <w:t>asumate</w:t>
            </w:r>
          </w:p>
          <w:p w14:paraId="509793CE" w14:textId="1B34A04E" w:rsidR="00F6244C" w:rsidRPr="00A3269F" w:rsidRDefault="00302192" w:rsidP="005750FB">
            <w:pPr>
              <w:tabs>
                <w:tab w:val="left" w:pos="201"/>
              </w:tabs>
              <w:jc w:val="both"/>
              <w:rPr>
                <w:b/>
                <w:bCs/>
              </w:rPr>
            </w:pPr>
            <w:r>
              <w:rPr>
                <w:b/>
                <w:bCs/>
              </w:rPr>
              <w:t>5.6. Alte informații</w:t>
            </w:r>
          </w:p>
        </w:tc>
      </w:tr>
    </w:tbl>
    <w:p w14:paraId="55D5FF81" w14:textId="77777777" w:rsidR="00826146" w:rsidRDefault="00302192" w:rsidP="005750FB">
      <w:pPr>
        <w:spacing w:after="120"/>
        <w:rPr>
          <w:b/>
        </w:rPr>
      </w:pPr>
      <w:r>
        <w:rPr>
          <w:b/>
        </w:rPr>
        <w:t xml:space="preserve">   Secțiunea a 6-a</w:t>
      </w:r>
    </w:p>
    <w:p w14:paraId="0DB7EDF4" w14:textId="77777777" w:rsidR="008D69F2" w:rsidRDefault="00302192" w:rsidP="005750FB">
      <w:pPr>
        <w:spacing w:after="120"/>
        <w:ind w:firstLine="180"/>
        <w:rPr>
          <w:b/>
        </w:rPr>
      </w:pPr>
      <w:r>
        <w:rPr>
          <w:b/>
        </w:rPr>
        <w:t>Consultările efectuate în vederea elaborării proiectului de act normativ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3"/>
      </w:tblGrid>
      <w:tr w:rsidR="00826146" w14:paraId="0F98B2E7" w14:textId="77777777">
        <w:tc>
          <w:tcPr>
            <w:tcW w:w="10533" w:type="dxa"/>
          </w:tcPr>
          <w:p w14:paraId="6430674E" w14:textId="77777777" w:rsidR="00F6244C" w:rsidRDefault="00302192" w:rsidP="005750FB">
            <w:pPr>
              <w:jc w:val="both"/>
              <w:rPr>
                <w:rFonts w:ascii="Trebuchet MS" w:hAnsi="Trebuchet MS"/>
                <w:bCs/>
                <w:color w:val="000000" w:themeColor="text1"/>
                <w:sz w:val="22"/>
                <w:szCs w:val="22"/>
              </w:rPr>
            </w:pPr>
            <w:r>
              <w:rPr>
                <w:b/>
                <w:bCs/>
              </w:rPr>
              <w:t>6.1. Informații privind neaplicarea procedurii de participare la elaborarea actelor normative</w:t>
            </w:r>
          </w:p>
          <w:p w14:paraId="2FF807FC" w14:textId="77777777" w:rsidR="008D69F2" w:rsidRDefault="00302192" w:rsidP="005750FB">
            <w:pPr>
              <w:jc w:val="both"/>
              <w:rPr>
                <w:b/>
                <w:bCs/>
              </w:rPr>
            </w:pPr>
            <w:r>
              <w:rPr>
                <w:b/>
                <w:bCs/>
              </w:rPr>
              <w:lastRenderedPageBreak/>
              <w:t>6.2. Informaţii privind procesul de consultare cu organizaţii neguvernamentale, institute de cercetare şi alte organisme implicate</w:t>
            </w:r>
          </w:p>
          <w:p w14:paraId="7C2318C2" w14:textId="77777777" w:rsidR="00D12785" w:rsidRDefault="00302192" w:rsidP="005750FB">
            <w:pPr>
              <w:jc w:val="both"/>
              <w:rPr>
                <w:b/>
                <w:bCs/>
              </w:rPr>
            </w:pPr>
            <w:r>
              <w:rPr>
                <w:b/>
                <w:bCs/>
              </w:rPr>
              <w:t>6.3. Informații despre consultările organizate cu autoritățile administrației publice locale</w:t>
            </w:r>
          </w:p>
          <w:p w14:paraId="6979D05F" w14:textId="77777777" w:rsidR="00D12785" w:rsidRDefault="00302192" w:rsidP="005750FB">
            <w:pPr>
              <w:jc w:val="both"/>
              <w:rPr>
                <w:b/>
                <w:bCs/>
              </w:rPr>
            </w:pPr>
            <w:r>
              <w:rPr>
                <w:b/>
                <w:bCs/>
              </w:rPr>
              <w:t>6.4. Informații privind puncte de vedere/opinii emise de organisme consulative constituite prin acte normative</w:t>
            </w:r>
          </w:p>
          <w:p w14:paraId="013BBD22" w14:textId="515BC1B1" w:rsidR="00AA4590" w:rsidRDefault="00AA4590" w:rsidP="005750FB">
            <w:pPr>
              <w:jc w:val="both"/>
              <w:rPr>
                <w:rFonts w:ascii="Trebuchet MS" w:hAnsi="Trebuchet MS"/>
                <w:sz w:val="22"/>
                <w:szCs w:val="22"/>
              </w:rPr>
            </w:pPr>
            <w:r w:rsidRPr="00DE15FC">
              <w:rPr>
                <w:rFonts w:ascii="Trebuchet MS" w:hAnsi="Trebuchet MS"/>
                <w:sz w:val="22"/>
                <w:szCs w:val="22"/>
              </w:rPr>
              <w:t>A fost solicitat punctul de vedere al a A</w:t>
            </w:r>
            <w:r w:rsidR="001437D1">
              <w:rPr>
                <w:rFonts w:ascii="Trebuchet MS" w:hAnsi="Trebuchet MS"/>
                <w:sz w:val="22"/>
                <w:szCs w:val="22"/>
              </w:rPr>
              <w:t xml:space="preserve">utorității </w:t>
            </w:r>
            <w:r w:rsidRPr="00DE15FC">
              <w:rPr>
                <w:rFonts w:ascii="Trebuchet MS" w:hAnsi="Trebuchet MS"/>
                <w:sz w:val="22"/>
                <w:szCs w:val="22"/>
              </w:rPr>
              <w:t>N</w:t>
            </w:r>
            <w:r w:rsidR="001437D1">
              <w:rPr>
                <w:rFonts w:ascii="Trebuchet MS" w:hAnsi="Trebuchet MS"/>
                <w:sz w:val="22"/>
                <w:szCs w:val="22"/>
              </w:rPr>
              <w:t xml:space="preserve">aționale de </w:t>
            </w:r>
            <w:r w:rsidRPr="00DE15FC">
              <w:rPr>
                <w:rFonts w:ascii="Trebuchet MS" w:hAnsi="Trebuchet MS"/>
                <w:sz w:val="22"/>
                <w:szCs w:val="22"/>
              </w:rPr>
              <w:t>S</w:t>
            </w:r>
            <w:r w:rsidR="001437D1">
              <w:rPr>
                <w:rFonts w:ascii="Trebuchet MS" w:hAnsi="Trebuchet MS"/>
                <w:sz w:val="22"/>
                <w:szCs w:val="22"/>
              </w:rPr>
              <w:t xml:space="preserve">upraveghere a </w:t>
            </w:r>
            <w:r w:rsidRPr="00DE15FC">
              <w:rPr>
                <w:rFonts w:ascii="Trebuchet MS" w:hAnsi="Trebuchet MS"/>
                <w:sz w:val="22"/>
                <w:szCs w:val="22"/>
              </w:rPr>
              <w:t>P</w:t>
            </w:r>
            <w:r w:rsidR="001437D1">
              <w:rPr>
                <w:rFonts w:ascii="Trebuchet MS" w:hAnsi="Trebuchet MS"/>
                <w:sz w:val="22"/>
                <w:szCs w:val="22"/>
              </w:rPr>
              <w:t xml:space="preserve">relucrării </w:t>
            </w:r>
            <w:r w:rsidRPr="00DE15FC">
              <w:rPr>
                <w:rFonts w:ascii="Trebuchet MS" w:hAnsi="Trebuchet MS"/>
                <w:sz w:val="22"/>
                <w:szCs w:val="22"/>
              </w:rPr>
              <w:t>D</w:t>
            </w:r>
            <w:r w:rsidR="001437D1">
              <w:rPr>
                <w:rFonts w:ascii="Trebuchet MS" w:hAnsi="Trebuchet MS"/>
                <w:sz w:val="22"/>
                <w:szCs w:val="22"/>
              </w:rPr>
              <w:t xml:space="preserve">atelor cu </w:t>
            </w:r>
            <w:r w:rsidRPr="00DE15FC">
              <w:rPr>
                <w:rFonts w:ascii="Trebuchet MS" w:hAnsi="Trebuchet MS"/>
                <w:sz w:val="22"/>
                <w:szCs w:val="22"/>
              </w:rPr>
              <w:t>C</w:t>
            </w:r>
            <w:r w:rsidR="001437D1">
              <w:rPr>
                <w:rFonts w:ascii="Trebuchet MS" w:hAnsi="Trebuchet MS"/>
                <w:sz w:val="22"/>
                <w:szCs w:val="22"/>
              </w:rPr>
              <w:t xml:space="preserve">aracter </w:t>
            </w:r>
            <w:r w:rsidRPr="00DE15FC">
              <w:rPr>
                <w:rFonts w:ascii="Trebuchet MS" w:hAnsi="Trebuchet MS"/>
                <w:sz w:val="22"/>
                <w:szCs w:val="22"/>
              </w:rPr>
              <w:t>P</w:t>
            </w:r>
            <w:r w:rsidR="001437D1">
              <w:rPr>
                <w:rFonts w:ascii="Trebuchet MS" w:hAnsi="Trebuchet MS"/>
                <w:sz w:val="22"/>
                <w:szCs w:val="22"/>
              </w:rPr>
              <w:t>ersonal</w:t>
            </w:r>
            <w:r w:rsidRPr="00DE15FC">
              <w:rPr>
                <w:rFonts w:ascii="Trebuchet MS" w:hAnsi="Trebuchet MS"/>
                <w:sz w:val="22"/>
                <w:szCs w:val="22"/>
              </w:rPr>
              <w:t xml:space="preserve"> prin adresa</w:t>
            </w:r>
            <w:r w:rsidR="0077206C">
              <w:rPr>
                <w:rFonts w:ascii="Trebuchet MS" w:hAnsi="Trebuchet MS"/>
                <w:sz w:val="22"/>
                <w:szCs w:val="22"/>
              </w:rPr>
              <w:t xml:space="preserve"> nr</w:t>
            </w:r>
            <w:r w:rsidRPr="00DE15FC">
              <w:rPr>
                <w:rFonts w:ascii="Trebuchet MS" w:hAnsi="Trebuchet MS"/>
                <w:sz w:val="22"/>
                <w:szCs w:val="22"/>
              </w:rPr>
              <w:t>....</w:t>
            </w:r>
            <w:r w:rsidR="0077206C">
              <w:rPr>
                <w:rFonts w:ascii="Trebuchet MS" w:hAnsi="Trebuchet MS"/>
                <w:sz w:val="22"/>
                <w:szCs w:val="22"/>
              </w:rPr>
              <w:t>.....</w:t>
            </w:r>
          </w:p>
          <w:p w14:paraId="2EF2128C" w14:textId="2C261082" w:rsidR="0077206C" w:rsidRPr="00DE15FC" w:rsidRDefault="0077206C" w:rsidP="005750FB">
            <w:pPr>
              <w:jc w:val="both"/>
              <w:rPr>
                <w:b/>
                <w:bCs/>
                <w:sz w:val="22"/>
                <w:szCs w:val="22"/>
              </w:rPr>
            </w:pPr>
            <w:r>
              <w:rPr>
                <w:rFonts w:ascii="Trebuchet MS" w:hAnsi="Trebuchet MS"/>
                <w:sz w:val="22"/>
                <w:szCs w:val="22"/>
              </w:rPr>
              <w:t>A fost solicitat punctul de vedere al A</w:t>
            </w:r>
            <w:r w:rsidR="00AC2AEE">
              <w:rPr>
                <w:rFonts w:ascii="Trebuchet MS" w:hAnsi="Trebuchet MS"/>
                <w:sz w:val="22"/>
                <w:szCs w:val="22"/>
              </w:rPr>
              <w:t xml:space="preserve">utoritatea </w:t>
            </w:r>
            <w:r>
              <w:rPr>
                <w:rFonts w:ascii="Trebuchet MS" w:hAnsi="Trebuchet MS"/>
                <w:sz w:val="22"/>
                <w:szCs w:val="22"/>
              </w:rPr>
              <w:t>N</w:t>
            </w:r>
            <w:r w:rsidR="00AC2AEE">
              <w:rPr>
                <w:rFonts w:ascii="Trebuchet MS" w:hAnsi="Trebuchet MS"/>
                <w:sz w:val="22"/>
                <w:szCs w:val="22"/>
              </w:rPr>
              <w:t>ațională pentru Administrare și Reglementare în Comunicații</w:t>
            </w:r>
            <w:r>
              <w:rPr>
                <w:rFonts w:ascii="Trebuchet MS" w:hAnsi="Trebuchet MS"/>
                <w:sz w:val="22"/>
                <w:szCs w:val="22"/>
              </w:rPr>
              <w:t xml:space="preserve"> prin adresa nr...........</w:t>
            </w:r>
          </w:p>
          <w:p w14:paraId="6BD3750D" w14:textId="77777777" w:rsidR="00F6244C" w:rsidRPr="00A11856" w:rsidRDefault="00302192" w:rsidP="005750FB">
            <w:pPr>
              <w:jc w:val="both"/>
              <w:rPr>
                <w:b/>
                <w:bCs/>
              </w:rPr>
            </w:pPr>
            <w:r w:rsidRPr="00A11856">
              <w:rPr>
                <w:b/>
                <w:bCs/>
              </w:rPr>
              <w:t>6.5.</w:t>
            </w:r>
            <w:r w:rsidRPr="005750FB">
              <w:rPr>
                <w:bCs/>
              </w:rPr>
              <w:t xml:space="preserve"> </w:t>
            </w:r>
            <w:r w:rsidRPr="00A11856">
              <w:rPr>
                <w:b/>
                <w:bCs/>
              </w:rPr>
              <w:t>Informații privind avizarea de către:</w:t>
            </w:r>
          </w:p>
          <w:p w14:paraId="2A3E5A4D" w14:textId="70FDF8A4" w:rsidR="008D69F2" w:rsidRPr="00DE15FC" w:rsidRDefault="00DE744B" w:rsidP="00DE744B">
            <w:pPr>
              <w:pStyle w:val="ListParagraph"/>
              <w:numPr>
                <w:ilvl w:val="0"/>
                <w:numId w:val="6"/>
              </w:numPr>
              <w:ind w:left="-23" w:hanging="720"/>
              <w:jc w:val="both"/>
              <w:rPr>
                <w:rFonts w:ascii="Trebuchet MS" w:hAnsi="Trebuchet MS"/>
                <w:sz w:val="22"/>
                <w:szCs w:val="22"/>
              </w:rPr>
            </w:pPr>
            <w:r>
              <w:rPr>
                <w:rFonts w:ascii="Trebuchet MS" w:hAnsi="Trebuchet MS"/>
                <w:sz w:val="22"/>
                <w:szCs w:val="22"/>
              </w:rPr>
              <w:t xml:space="preserve">a) </w:t>
            </w:r>
            <w:r w:rsidR="00302192" w:rsidRPr="00DE15FC">
              <w:rPr>
                <w:rFonts w:ascii="Trebuchet MS" w:hAnsi="Trebuchet MS"/>
                <w:sz w:val="22"/>
                <w:szCs w:val="22"/>
              </w:rPr>
              <w:t>Consiliul Legislativ</w:t>
            </w:r>
          </w:p>
          <w:p w14:paraId="6AF2A04D" w14:textId="072EE9F5" w:rsidR="00431492" w:rsidRPr="00DE744B" w:rsidRDefault="00302192" w:rsidP="005750FB">
            <w:pPr>
              <w:jc w:val="both"/>
              <w:rPr>
                <w:rFonts w:ascii="Trebuchet MS" w:hAnsi="Trebuchet MS"/>
                <w:bCs/>
                <w:sz w:val="22"/>
                <w:szCs w:val="22"/>
              </w:rPr>
            </w:pPr>
            <w:r w:rsidRPr="00DE15FC">
              <w:rPr>
                <w:rFonts w:ascii="Trebuchet MS" w:hAnsi="Trebuchet MS"/>
                <w:sz w:val="22"/>
                <w:szCs w:val="22"/>
              </w:rPr>
              <w:t xml:space="preserve">Proiectul de act normativ se avizează de </w:t>
            </w:r>
            <w:r w:rsidRPr="00DE15FC">
              <w:rPr>
                <w:rFonts w:ascii="Trebuchet MS" w:hAnsi="Trebuchet MS"/>
                <w:bCs/>
                <w:sz w:val="22"/>
                <w:szCs w:val="22"/>
              </w:rPr>
              <w:t>Consiliul Legislativ</w:t>
            </w:r>
          </w:p>
          <w:p w14:paraId="0E6A257F" w14:textId="449A9769" w:rsidR="008D69F2" w:rsidRPr="00DE15FC" w:rsidRDefault="00302192" w:rsidP="005750FB">
            <w:pPr>
              <w:jc w:val="both"/>
              <w:rPr>
                <w:rFonts w:ascii="Trebuchet MS" w:hAnsi="Trebuchet MS"/>
                <w:sz w:val="22"/>
                <w:szCs w:val="22"/>
              </w:rPr>
            </w:pPr>
            <w:r w:rsidRPr="00DE15FC">
              <w:rPr>
                <w:rFonts w:ascii="Trebuchet MS" w:hAnsi="Trebuchet MS"/>
                <w:sz w:val="22"/>
                <w:szCs w:val="22"/>
              </w:rPr>
              <w:t>b) Consiliul Suprem de Apărare a Ţării</w:t>
            </w:r>
          </w:p>
          <w:p w14:paraId="76B901D3" w14:textId="2E66ACDF" w:rsidR="008D69F2" w:rsidRPr="00DE15FC" w:rsidRDefault="00302192" w:rsidP="005750FB">
            <w:pPr>
              <w:jc w:val="both"/>
              <w:rPr>
                <w:rFonts w:ascii="Trebuchet MS" w:hAnsi="Trebuchet MS"/>
                <w:sz w:val="22"/>
                <w:szCs w:val="22"/>
              </w:rPr>
            </w:pPr>
            <w:r w:rsidRPr="00DE15FC">
              <w:rPr>
                <w:rFonts w:ascii="Trebuchet MS" w:hAnsi="Trebuchet MS"/>
                <w:sz w:val="22"/>
                <w:szCs w:val="22"/>
              </w:rPr>
              <w:t xml:space="preserve">c) Consiliul Economic şi Social </w:t>
            </w:r>
          </w:p>
          <w:p w14:paraId="21D68059" w14:textId="267D8497" w:rsidR="008D69F2" w:rsidRPr="00DE15FC" w:rsidRDefault="00302192" w:rsidP="005750FB">
            <w:pPr>
              <w:jc w:val="both"/>
              <w:rPr>
                <w:rFonts w:ascii="Trebuchet MS" w:hAnsi="Trebuchet MS"/>
                <w:bCs/>
                <w:sz w:val="22"/>
                <w:szCs w:val="22"/>
              </w:rPr>
            </w:pPr>
            <w:r w:rsidRPr="00DE15FC">
              <w:rPr>
                <w:rFonts w:ascii="Trebuchet MS" w:hAnsi="Trebuchet MS"/>
                <w:sz w:val="22"/>
                <w:szCs w:val="22"/>
              </w:rPr>
              <w:t xml:space="preserve">Proiectul de act normativ a fost avizat </w:t>
            </w:r>
            <w:r w:rsidR="00664488">
              <w:rPr>
                <w:rFonts w:ascii="Trebuchet MS" w:hAnsi="Trebuchet MS"/>
                <w:sz w:val="22"/>
                <w:szCs w:val="22"/>
              </w:rPr>
              <w:t xml:space="preserve">de </w:t>
            </w:r>
            <w:r w:rsidRPr="00DE15FC">
              <w:rPr>
                <w:rFonts w:ascii="Trebuchet MS" w:hAnsi="Trebuchet MS"/>
                <w:bCs/>
                <w:sz w:val="22"/>
                <w:szCs w:val="22"/>
              </w:rPr>
              <w:t>Consiliul Economic şi Social</w:t>
            </w:r>
            <w:r w:rsidR="00AA4590" w:rsidRPr="00DE15FC">
              <w:rPr>
                <w:rFonts w:ascii="Trebuchet MS" w:hAnsi="Trebuchet MS"/>
                <w:bCs/>
                <w:sz w:val="22"/>
                <w:szCs w:val="22"/>
              </w:rPr>
              <w:t xml:space="preserve"> cu avizul nr...............</w:t>
            </w:r>
          </w:p>
          <w:p w14:paraId="542EDA55" w14:textId="6445AC77" w:rsidR="008D69F2" w:rsidRPr="00DE15FC" w:rsidRDefault="00302192" w:rsidP="005750FB">
            <w:pPr>
              <w:jc w:val="both"/>
              <w:rPr>
                <w:rFonts w:ascii="Trebuchet MS" w:hAnsi="Trebuchet MS"/>
                <w:sz w:val="22"/>
                <w:szCs w:val="22"/>
              </w:rPr>
            </w:pPr>
            <w:r w:rsidRPr="00DE15FC">
              <w:rPr>
                <w:rFonts w:ascii="Trebuchet MS" w:hAnsi="Trebuchet MS"/>
                <w:sz w:val="22"/>
                <w:szCs w:val="22"/>
              </w:rPr>
              <w:t>d) Consiliul Concurenţei</w:t>
            </w:r>
          </w:p>
          <w:p w14:paraId="247ABF6E" w14:textId="77777777" w:rsidR="00826146" w:rsidRPr="00DE15FC" w:rsidRDefault="00302192" w:rsidP="005750FB">
            <w:pPr>
              <w:jc w:val="both"/>
              <w:rPr>
                <w:rFonts w:ascii="Trebuchet MS" w:hAnsi="Trebuchet MS"/>
                <w:sz w:val="22"/>
                <w:szCs w:val="22"/>
              </w:rPr>
            </w:pPr>
            <w:r w:rsidRPr="00DE15FC">
              <w:rPr>
                <w:rFonts w:ascii="Trebuchet MS" w:hAnsi="Trebuchet MS"/>
                <w:sz w:val="22"/>
                <w:szCs w:val="22"/>
              </w:rPr>
              <w:t>e) Curtea de Conturi</w:t>
            </w:r>
          </w:p>
          <w:p w14:paraId="140E9C8E" w14:textId="77777777" w:rsidR="00826146" w:rsidRDefault="00302192">
            <w:pPr>
              <w:spacing w:after="120"/>
              <w:jc w:val="both"/>
              <w:rPr>
                <w:b/>
                <w:bCs/>
              </w:rPr>
            </w:pPr>
            <w:r>
              <w:rPr>
                <w:b/>
                <w:bCs/>
              </w:rPr>
              <w:t>6.6. Alte informații</w:t>
            </w:r>
          </w:p>
        </w:tc>
      </w:tr>
    </w:tbl>
    <w:p w14:paraId="70140E0C" w14:textId="77777777" w:rsidR="00826146" w:rsidRDefault="00302192">
      <w:pPr>
        <w:pStyle w:val="BodyTextIndent2"/>
        <w:spacing w:before="0" w:line="240" w:lineRule="auto"/>
        <w:ind w:left="180" w:right="98" w:firstLine="540"/>
        <w:jc w:val="both"/>
        <w:rPr>
          <w:bCs w:val="0"/>
          <w:sz w:val="24"/>
        </w:rPr>
      </w:pPr>
      <w:r>
        <w:rPr>
          <w:bCs w:val="0"/>
          <w:sz w:val="24"/>
        </w:rPr>
        <w:lastRenderedPageBreak/>
        <w:t xml:space="preserve">Secţiunea a 7-a  </w:t>
      </w:r>
    </w:p>
    <w:p w14:paraId="4C6BE329" w14:textId="77777777" w:rsidR="00826146" w:rsidRDefault="00302192">
      <w:pPr>
        <w:pStyle w:val="BodyTextIndent2"/>
        <w:spacing w:before="0" w:line="240" w:lineRule="auto"/>
        <w:ind w:left="180" w:right="98" w:firstLine="540"/>
        <w:jc w:val="both"/>
        <w:rPr>
          <w:bCs w:val="0"/>
          <w:sz w:val="24"/>
        </w:rPr>
      </w:pPr>
      <w:r>
        <w:rPr>
          <w:bCs w:val="0"/>
          <w:sz w:val="24"/>
        </w:rPr>
        <w:t xml:space="preserve">Activităţi de informare publică privind elaborarea şi implementarea </w:t>
      </w:r>
      <w:bookmarkStart w:id="1" w:name="_Hlk100229941"/>
      <w:r>
        <w:rPr>
          <w:bCs w:val="0"/>
          <w:sz w:val="24"/>
        </w:rPr>
        <w:t>proiectului de act normativ</w:t>
      </w:r>
      <w:bookmarkEnd w:id="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3"/>
      </w:tblGrid>
      <w:tr w:rsidR="00826146" w14:paraId="2F5162F0" w14:textId="77777777">
        <w:tc>
          <w:tcPr>
            <w:tcW w:w="10533" w:type="dxa"/>
          </w:tcPr>
          <w:p w14:paraId="61F67F06" w14:textId="77777777" w:rsidR="00826146" w:rsidRDefault="00302192" w:rsidP="00A11856">
            <w:pPr>
              <w:jc w:val="both"/>
              <w:rPr>
                <w:b/>
                <w:bCs/>
              </w:rPr>
            </w:pPr>
            <w:r>
              <w:rPr>
                <w:b/>
                <w:bCs/>
              </w:rPr>
              <w:t>7.1. Informarea societăţii civile cu privire la elaborarea proiectului de act normativ</w:t>
            </w:r>
          </w:p>
          <w:p w14:paraId="4873EEEF" w14:textId="7526B95E" w:rsidR="00AA4590" w:rsidRPr="00DE15FC" w:rsidRDefault="00AA4590" w:rsidP="00A11856">
            <w:pPr>
              <w:jc w:val="both"/>
              <w:rPr>
                <w:b/>
                <w:bCs/>
                <w:sz w:val="22"/>
                <w:szCs w:val="22"/>
              </w:rPr>
            </w:pPr>
            <w:r w:rsidRPr="00DE15FC">
              <w:rPr>
                <w:rFonts w:ascii="Trebuchet MS" w:hAnsi="Trebuchet MS"/>
                <w:sz w:val="22"/>
                <w:szCs w:val="22"/>
              </w:rPr>
              <w:t xml:space="preserve">Proiectul de act normativ a fost supus dezbaterii publice prin afișare </w:t>
            </w:r>
            <w:r w:rsidR="00DD6466" w:rsidRPr="00F77354">
              <w:rPr>
                <w:rFonts w:ascii="Trebuchet MS" w:hAnsi="Trebuchet MS"/>
                <w:color w:val="000000" w:themeColor="text1"/>
                <w:sz w:val="22"/>
                <w:szCs w:val="22"/>
              </w:rPr>
              <w:t>la data de.........</w:t>
            </w:r>
            <w:r w:rsidRPr="00DE15FC">
              <w:rPr>
                <w:rFonts w:ascii="Trebuchet MS" w:hAnsi="Trebuchet MS"/>
                <w:sz w:val="22"/>
                <w:szCs w:val="22"/>
              </w:rPr>
              <w:t>pe site-ul Ministerului Finanţelor potrivit dispozițiilor art. 7 alin. (13) din Legea nr. 52/2003 privind transparenţa decizională în administraţia publică, republicată şi a fost dezbătut în cadrul Comisiei de Dialog Social la care au participat reprezentanţi ai organismelor interesate</w:t>
            </w:r>
            <w:r w:rsidR="00DD6466">
              <w:rPr>
                <w:rFonts w:ascii="Trebuchet MS" w:hAnsi="Trebuchet MS"/>
                <w:sz w:val="22"/>
                <w:szCs w:val="22"/>
              </w:rPr>
              <w:t xml:space="preserve">, </w:t>
            </w:r>
            <w:r w:rsidR="00DD6466" w:rsidRPr="00F77354">
              <w:rPr>
                <w:rFonts w:ascii="Trebuchet MS" w:hAnsi="Trebuchet MS"/>
                <w:color w:val="000000" w:themeColor="text1"/>
                <w:sz w:val="22"/>
                <w:szCs w:val="22"/>
              </w:rPr>
              <w:t>în data de...........</w:t>
            </w:r>
            <w:r w:rsidRPr="00F77354">
              <w:rPr>
                <w:rFonts w:ascii="Trebuchet MS" w:hAnsi="Trebuchet MS"/>
                <w:color w:val="000000" w:themeColor="text1"/>
                <w:sz w:val="22"/>
                <w:szCs w:val="22"/>
              </w:rPr>
              <w:t>.</w:t>
            </w:r>
          </w:p>
          <w:p w14:paraId="22A213ED" w14:textId="77777777" w:rsidR="00826146" w:rsidRDefault="00302192" w:rsidP="00A11856">
            <w:pPr>
              <w:jc w:val="both"/>
              <w:rPr>
                <w:b/>
                <w:bCs/>
              </w:rPr>
            </w:pPr>
            <w:r>
              <w:rPr>
                <w:b/>
                <w:bCs/>
              </w:rPr>
              <w:t>7.2. Informarea societăţii civile cu privire la eventualul impact asupra mediului în urma implementării proiectului de act normativ, precum și efectele asupra sănătății și securității cetățenilor sau diversității biologice</w:t>
            </w:r>
          </w:p>
          <w:p w14:paraId="3EE3416A" w14:textId="77777777" w:rsidR="00826146" w:rsidRDefault="00302192" w:rsidP="00A11856">
            <w:pPr>
              <w:jc w:val="both"/>
              <w:rPr>
                <w:b/>
                <w:bCs/>
              </w:rPr>
            </w:pPr>
            <w:r>
              <w:rPr>
                <w:b/>
                <w:bCs/>
              </w:rPr>
              <w:t>7.3. Alte informații</w:t>
            </w:r>
          </w:p>
        </w:tc>
      </w:tr>
    </w:tbl>
    <w:p w14:paraId="604D6C73" w14:textId="77777777" w:rsidR="00826146" w:rsidRDefault="00302192">
      <w:pPr>
        <w:spacing w:after="120"/>
        <w:ind w:left="180" w:firstLine="540"/>
        <w:rPr>
          <w:b/>
        </w:rPr>
      </w:pPr>
      <w:r>
        <w:rPr>
          <w:b/>
        </w:rPr>
        <w:t xml:space="preserve">Secţiunea a 8- a  </w:t>
      </w:r>
    </w:p>
    <w:p w14:paraId="15465AC3" w14:textId="77777777" w:rsidR="00826146" w:rsidRDefault="00302192">
      <w:pPr>
        <w:spacing w:after="120"/>
        <w:ind w:left="180" w:firstLine="540"/>
        <w:rPr>
          <w:b/>
        </w:rPr>
      </w:pPr>
      <w:r>
        <w:rPr>
          <w:b/>
        </w:rPr>
        <w:t>Măsuri privind implementarea, monitorizarea și evaluarea proiectului de act normativ</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3"/>
      </w:tblGrid>
      <w:tr w:rsidR="00826146" w14:paraId="6FE87C6C" w14:textId="77777777">
        <w:tc>
          <w:tcPr>
            <w:tcW w:w="10553" w:type="dxa"/>
          </w:tcPr>
          <w:p w14:paraId="47149C4B" w14:textId="77777777" w:rsidR="00826146" w:rsidRDefault="00302192" w:rsidP="00A11856">
            <w:pPr>
              <w:pStyle w:val="Heading1"/>
              <w:spacing w:line="240" w:lineRule="auto"/>
              <w:jc w:val="both"/>
              <w:rPr>
                <w:b/>
                <w:bCs/>
                <w:sz w:val="24"/>
              </w:rPr>
            </w:pPr>
            <w:r>
              <w:rPr>
                <w:b/>
                <w:bCs/>
                <w:sz w:val="24"/>
              </w:rPr>
              <w:t>8.1. Măsuri de punere în aplicare a proiectului de act normativ</w:t>
            </w:r>
          </w:p>
          <w:p w14:paraId="7CBCBE96" w14:textId="77777777" w:rsidR="00826146" w:rsidRDefault="00302192" w:rsidP="00A11856">
            <w:r>
              <w:rPr>
                <w:b/>
                <w:bCs/>
              </w:rPr>
              <w:t>8.2. Alte informaţii</w:t>
            </w:r>
          </w:p>
        </w:tc>
      </w:tr>
    </w:tbl>
    <w:p w14:paraId="44FA25DB" w14:textId="77777777" w:rsidR="00826146" w:rsidRDefault="00826146">
      <w:pPr>
        <w:jc w:val="both"/>
      </w:pPr>
    </w:p>
    <w:p w14:paraId="4B8B2EAE" w14:textId="77777777" w:rsidR="00826146" w:rsidRPr="00DE15FC" w:rsidRDefault="00AA4590">
      <w:pPr>
        <w:spacing w:line="276" w:lineRule="auto"/>
        <w:ind w:left="-426"/>
        <w:jc w:val="both"/>
        <w:rPr>
          <w:rFonts w:ascii="Trebuchet MS" w:hAnsi="Trebuchet MS"/>
          <w:sz w:val="22"/>
          <w:szCs w:val="22"/>
        </w:rPr>
      </w:pPr>
      <w:r w:rsidRPr="00DE15FC">
        <w:rPr>
          <w:rFonts w:ascii="Trebuchet MS" w:hAnsi="Trebuchet MS"/>
          <w:sz w:val="22"/>
          <w:szCs w:val="22"/>
        </w:rPr>
        <w:t>Față de cele prezentate a fost elaborat proiectul de Ordonanță a Guvernului pentru modificarea și completarea Legii nr. 207/2015 privind Codul de procedură fiscală, cu modificările și completările ulterioare</w:t>
      </w:r>
    </w:p>
    <w:p w14:paraId="1E92B2DE" w14:textId="77777777" w:rsidR="00DE15FC" w:rsidRDefault="00DE15FC">
      <w:pPr>
        <w:spacing w:line="276" w:lineRule="auto"/>
        <w:ind w:left="-426"/>
        <w:jc w:val="center"/>
        <w:rPr>
          <w:rFonts w:ascii="Trebuchet MS" w:hAnsi="Trebuchet MS"/>
          <w:sz w:val="22"/>
          <w:szCs w:val="22"/>
        </w:rPr>
      </w:pPr>
    </w:p>
    <w:p w14:paraId="358AA72C" w14:textId="1B72CF98" w:rsidR="00826146" w:rsidRDefault="00302192">
      <w:pPr>
        <w:spacing w:line="276" w:lineRule="auto"/>
        <w:ind w:left="-426"/>
        <w:jc w:val="center"/>
        <w:rPr>
          <w:rFonts w:ascii="Trebuchet MS" w:hAnsi="Trebuchet MS"/>
          <w:sz w:val="22"/>
          <w:szCs w:val="22"/>
        </w:rPr>
      </w:pPr>
      <w:r>
        <w:rPr>
          <w:rFonts w:ascii="Trebuchet MS" w:hAnsi="Trebuchet MS"/>
          <w:sz w:val="22"/>
          <w:szCs w:val="22"/>
        </w:rPr>
        <w:t>MINISTRUL FINANȚELOR</w:t>
      </w:r>
    </w:p>
    <w:p w14:paraId="233C1449" w14:textId="77777777" w:rsidR="00826146" w:rsidRDefault="00302192">
      <w:pPr>
        <w:spacing w:line="276" w:lineRule="auto"/>
        <w:ind w:left="-426"/>
        <w:jc w:val="center"/>
        <w:rPr>
          <w:rFonts w:ascii="Trebuchet MS" w:hAnsi="Trebuchet MS"/>
          <w:sz w:val="22"/>
          <w:szCs w:val="22"/>
        </w:rPr>
      </w:pPr>
      <w:r>
        <w:rPr>
          <w:rFonts w:ascii="Trebuchet MS" w:hAnsi="Trebuchet MS"/>
          <w:sz w:val="22"/>
          <w:szCs w:val="22"/>
        </w:rPr>
        <w:t>Adrian CÂCIU</w:t>
      </w:r>
    </w:p>
    <w:p w14:paraId="52E2EB11" w14:textId="77777777" w:rsidR="00826146" w:rsidRDefault="00826146">
      <w:pPr>
        <w:spacing w:line="276" w:lineRule="auto"/>
        <w:ind w:left="-426"/>
        <w:jc w:val="center"/>
        <w:rPr>
          <w:rFonts w:ascii="Trebuchet MS" w:hAnsi="Trebuchet MS"/>
          <w:sz w:val="22"/>
          <w:szCs w:val="22"/>
        </w:rPr>
      </w:pPr>
    </w:p>
    <w:p w14:paraId="6660CE01" w14:textId="77777777" w:rsidR="00826146" w:rsidRDefault="00826146">
      <w:pPr>
        <w:spacing w:line="276" w:lineRule="auto"/>
        <w:ind w:left="-426"/>
        <w:jc w:val="center"/>
        <w:rPr>
          <w:rFonts w:ascii="Trebuchet MS" w:hAnsi="Trebuchet MS"/>
          <w:sz w:val="22"/>
          <w:szCs w:val="22"/>
        </w:rPr>
      </w:pPr>
    </w:p>
    <w:p w14:paraId="6C40D3E4" w14:textId="37CD1A9F" w:rsidR="00826146" w:rsidRDefault="00302192" w:rsidP="00714C07">
      <w:pPr>
        <w:spacing w:line="276" w:lineRule="auto"/>
        <w:ind w:left="-426"/>
        <w:jc w:val="center"/>
        <w:rPr>
          <w:rFonts w:ascii="Trebuchet MS" w:hAnsi="Trebuchet MS"/>
          <w:sz w:val="22"/>
          <w:szCs w:val="22"/>
        </w:rPr>
      </w:pPr>
      <w:r>
        <w:rPr>
          <w:rFonts w:ascii="Trebuchet MS" w:hAnsi="Trebuchet MS"/>
          <w:sz w:val="22"/>
          <w:szCs w:val="22"/>
        </w:rPr>
        <w:t>AVIZĂM FAVORABIL</w:t>
      </w:r>
    </w:p>
    <w:p w14:paraId="52830F91" w14:textId="77777777" w:rsidR="00714C07" w:rsidRDefault="00714C07" w:rsidP="006A608F">
      <w:pPr>
        <w:spacing w:line="276" w:lineRule="auto"/>
        <w:ind w:left="-426"/>
        <w:rPr>
          <w:rFonts w:ascii="Trebuchet MS" w:hAnsi="Trebuchet MS"/>
          <w:sz w:val="22"/>
          <w:szCs w:val="22"/>
        </w:rPr>
      </w:pPr>
    </w:p>
    <w:p w14:paraId="0E0DCD03" w14:textId="77777777" w:rsidR="00826146" w:rsidRDefault="00302192">
      <w:pPr>
        <w:spacing w:line="276" w:lineRule="auto"/>
        <w:ind w:left="-426"/>
        <w:jc w:val="center"/>
        <w:rPr>
          <w:rFonts w:ascii="Trebuchet MS" w:hAnsi="Trebuchet MS"/>
          <w:sz w:val="22"/>
          <w:szCs w:val="22"/>
        </w:rPr>
      </w:pPr>
      <w:r>
        <w:rPr>
          <w:rFonts w:ascii="Trebuchet MS" w:hAnsi="Trebuchet MS"/>
          <w:sz w:val="22"/>
          <w:szCs w:val="22"/>
        </w:rPr>
        <w:t>VICEPRIM-MINISTRU</w:t>
      </w:r>
    </w:p>
    <w:p w14:paraId="427EB73E" w14:textId="77777777" w:rsidR="00826146" w:rsidRDefault="00302192">
      <w:pPr>
        <w:spacing w:line="276" w:lineRule="auto"/>
        <w:ind w:left="-426"/>
        <w:jc w:val="center"/>
        <w:rPr>
          <w:rFonts w:ascii="Trebuchet MS" w:hAnsi="Trebuchet MS"/>
          <w:sz w:val="22"/>
          <w:szCs w:val="22"/>
        </w:rPr>
      </w:pPr>
      <w:r>
        <w:rPr>
          <w:rFonts w:ascii="Trebuchet MS" w:hAnsi="Trebuchet MS"/>
          <w:sz w:val="22"/>
          <w:szCs w:val="22"/>
        </w:rPr>
        <w:t xml:space="preserve"> MINISTRUL TRANSPORTURILOR ŞI INFRASTRUCTURII</w:t>
      </w:r>
    </w:p>
    <w:p w14:paraId="1248A67C" w14:textId="77777777" w:rsidR="00826146" w:rsidRDefault="00302192">
      <w:pPr>
        <w:spacing w:line="276" w:lineRule="auto"/>
        <w:ind w:left="-426"/>
        <w:jc w:val="center"/>
        <w:rPr>
          <w:rFonts w:ascii="Trebuchet MS" w:hAnsi="Trebuchet MS"/>
          <w:sz w:val="22"/>
          <w:szCs w:val="22"/>
        </w:rPr>
      </w:pPr>
      <w:r>
        <w:rPr>
          <w:rFonts w:ascii="Trebuchet MS" w:hAnsi="Trebuchet MS"/>
          <w:sz w:val="22"/>
          <w:szCs w:val="22"/>
        </w:rPr>
        <w:t>Sorin Mihai GRINDEANU</w:t>
      </w:r>
    </w:p>
    <w:p w14:paraId="0827982D" w14:textId="77777777" w:rsidR="00826146" w:rsidRDefault="00826146">
      <w:pPr>
        <w:spacing w:line="276" w:lineRule="auto"/>
        <w:ind w:left="-426"/>
        <w:jc w:val="center"/>
        <w:rPr>
          <w:rFonts w:ascii="Trebuchet MS" w:hAnsi="Trebuchet MS"/>
          <w:sz w:val="22"/>
          <w:szCs w:val="22"/>
        </w:rPr>
      </w:pPr>
    </w:p>
    <w:p w14:paraId="7205A181" w14:textId="77777777" w:rsidR="00826146" w:rsidRDefault="00826146">
      <w:pPr>
        <w:spacing w:line="276" w:lineRule="auto"/>
        <w:ind w:left="-426"/>
        <w:jc w:val="center"/>
        <w:rPr>
          <w:rFonts w:ascii="Trebuchet MS" w:hAnsi="Trebuchet MS"/>
          <w:sz w:val="22"/>
          <w:szCs w:val="22"/>
        </w:rPr>
      </w:pPr>
    </w:p>
    <w:p w14:paraId="5D11C3AE" w14:textId="77777777" w:rsidR="00826146" w:rsidRDefault="00302192">
      <w:pPr>
        <w:spacing w:line="276" w:lineRule="auto"/>
        <w:ind w:left="-426"/>
        <w:jc w:val="center"/>
        <w:rPr>
          <w:rFonts w:ascii="Trebuchet MS" w:hAnsi="Trebuchet MS"/>
          <w:sz w:val="22"/>
          <w:szCs w:val="22"/>
        </w:rPr>
      </w:pPr>
      <w:r>
        <w:rPr>
          <w:rFonts w:ascii="Trebuchet MS" w:hAnsi="Trebuchet MS"/>
          <w:sz w:val="22"/>
          <w:szCs w:val="22"/>
        </w:rPr>
        <w:lastRenderedPageBreak/>
        <w:t xml:space="preserve">MINISTRUL AFACERILOR </w:t>
      </w:r>
      <w:r w:rsidR="00AA4590">
        <w:rPr>
          <w:rFonts w:ascii="Trebuchet MS" w:hAnsi="Trebuchet MS"/>
          <w:sz w:val="22"/>
          <w:szCs w:val="22"/>
        </w:rPr>
        <w:t>EXTERNE</w:t>
      </w:r>
    </w:p>
    <w:p w14:paraId="0D8CC0C2" w14:textId="77777777" w:rsidR="00826146" w:rsidRDefault="00AA4590">
      <w:pPr>
        <w:spacing w:line="276" w:lineRule="auto"/>
        <w:ind w:left="-426"/>
        <w:jc w:val="center"/>
        <w:rPr>
          <w:rFonts w:ascii="Trebuchet MS" w:hAnsi="Trebuchet MS"/>
          <w:sz w:val="22"/>
          <w:szCs w:val="22"/>
        </w:rPr>
      </w:pPr>
      <w:r>
        <w:rPr>
          <w:rFonts w:ascii="Trebuchet MS" w:hAnsi="Trebuchet MS"/>
          <w:sz w:val="22"/>
          <w:szCs w:val="22"/>
          <w:lang w:val="en-US"/>
        </w:rPr>
        <w:t>Bogdan AURESCU</w:t>
      </w:r>
    </w:p>
    <w:p w14:paraId="6BCB7E15" w14:textId="77777777" w:rsidR="00AA4590" w:rsidRDefault="00AA4590">
      <w:pPr>
        <w:spacing w:line="276" w:lineRule="auto"/>
        <w:ind w:left="-426"/>
        <w:jc w:val="center"/>
        <w:rPr>
          <w:rFonts w:ascii="Trebuchet MS" w:hAnsi="Trebuchet MS"/>
          <w:sz w:val="22"/>
          <w:szCs w:val="22"/>
        </w:rPr>
      </w:pPr>
    </w:p>
    <w:p w14:paraId="78B0E0E3" w14:textId="77777777" w:rsidR="00AA4590" w:rsidRDefault="00AA4590">
      <w:pPr>
        <w:spacing w:line="276" w:lineRule="auto"/>
        <w:ind w:left="-426"/>
        <w:jc w:val="center"/>
        <w:rPr>
          <w:rFonts w:ascii="Trebuchet MS" w:hAnsi="Trebuchet MS"/>
          <w:sz w:val="22"/>
          <w:szCs w:val="22"/>
        </w:rPr>
      </w:pPr>
    </w:p>
    <w:p w14:paraId="34B06F02" w14:textId="77777777" w:rsidR="00826146" w:rsidRDefault="00302192">
      <w:pPr>
        <w:spacing w:line="276" w:lineRule="auto"/>
        <w:ind w:left="-426"/>
        <w:jc w:val="center"/>
        <w:rPr>
          <w:rFonts w:ascii="Trebuchet MS" w:hAnsi="Trebuchet MS"/>
          <w:sz w:val="22"/>
          <w:szCs w:val="22"/>
        </w:rPr>
      </w:pPr>
      <w:r>
        <w:rPr>
          <w:rFonts w:ascii="Trebuchet MS" w:hAnsi="Trebuchet MS"/>
          <w:sz w:val="22"/>
          <w:szCs w:val="22"/>
        </w:rPr>
        <w:t>MINISTRUL JUSTIȚIEI</w:t>
      </w:r>
    </w:p>
    <w:p w14:paraId="6F9F7405" w14:textId="77777777" w:rsidR="00826146" w:rsidRDefault="00302192">
      <w:pPr>
        <w:spacing w:line="276" w:lineRule="auto"/>
        <w:ind w:left="-426"/>
        <w:jc w:val="center"/>
        <w:rPr>
          <w:rFonts w:ascii="Trebuchet MS" w:hAnsi="Trebuchet MS"/>
          <w:sz w:val="22"/>
          <w:szCs w:val="22"/>
        </w:rPr>
      </w:pPr>
      <w:r>
        <w:rPr>
          <w:rFonts w:ascii="Trebuchet MS" w:hAnsi="Trebuchet MS"/>
          <w:sz w:val="22"/>
          <w:szCs w:val="22"/>
        </w:rPr>
        <w:t>Marian Cătălin PREDOIU</w:t>
      </w:r>
    </w:p>
    <w:p w14:paraId="5332CAEB" w14:textId="77777777" w:rsidR="00E5456A" w:rsidRDefault="00E5456A">
      <w:pPr>
        <w:spacing w:line="276" w:lineRule="auto"/>
        <w:ind w:left="-426"/>
        <w:jc w:val="center"/>
        <w:rPr>
          <w:rFonts w:ascii="Trebuchet MS" w:hAnsi="Trebuchet MS"/>
          <w:sz w:val="22"/>
          <w:szCs w:val="22"/>
        </w:rPr>
      </w:pPr>
    </w:p>
    <w:p w14:paraId="5E9F70D0" w14:textId="77777777" w:rsidR="00E5456A" w:rsidRDefault="00E5456A">
      <w:pPr>
        <w:spacing w:line="276" w:lineRule="auto"/>
        <w:ind w:left="-426"/>
        <w:jc w:val="center"/>
        <w:rPr>
          <w:rFonts w:ascii="Trebuchet MS" w:hAnsi="Trebuchet MS"/>
          <w:sz w:val="22"/>
          <w:szCs w:val="22"/>
        </w:rPr>
      </w:pPr>
    </w:p>
    <w:p w14:paraId="25B7B46E" w14:textId="77777777" w:rsidR="00E5456A" w:rsidRDefault="00E5456A">
      <w:pPr>
        <w:spacing w:line="276" w:lineRule="auto"/>
        <w:ind w:left="-426"/>
        <w:jc w:val="center"/>
        <w:rPr>
          <w:rFonts w:ascii="Trebuchet MS" w:hAnsi="Trebuchet MS"/>
          <w:sz w:val="22"/>
          <w:szCs w:val="22"/>
        </w:rPr>
      </w:pPr>
    </w:p>
    <w:sectPr w:rsidR="00E5456A">
      <w:footerReference w:type="even" r:id="rId9"/>
      <w:footerReference w:type="default" r:id="rId10"/>
      <w:pgSz w:w="12240" w:h="15840"/>
      <w:pgMar w:top="737" w:right="851"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A05A0" w14:textId="77777777" w:rsidR="00C20537" w:rsidRDefault="00C20537">
      <w:r>
        <w:separator/>
      </w:r>
    </w:p>
  </w:endnote>
  <w:endnote w:type="continuationSeparator" w:id="0">
    <w:p w14:paraId="5E1B9709" w14:textId="77777777" w:rsidR="00C20537" w:rsidRDefault="00C2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8091F" w14:textId="77777777" w:rsidR="00826146" w:rsidRDefault="00302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2AE00" w14:textId="77777777" w:rsidR="00826146" w:rsidRDefault="008261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339194"/>
      <w:docPartObj>
        <w:docPartGallery w:val="AutoText"/>
      </w:docPartObj>
    </w:sdtPr>
    <w:sdtEndPr/>
    <w:sdtContent>
      <w:p w14:paraId="45B9B18B" w14:textId="5D76A66A" w:rsidR="00826146" w:rsidRDefault="00302192">
        <w:pPr>
          <w:pStyle w:val="Footer"/>
          <w:jc w:val="center"/>
        </w:pPr>
        <w:r>
          <w:fldChar w:fldCharType="begin"/>
        </w:r>
        <w:r>
          <w:instrText xml:space="preserve"> PAGE   \* MERGEFORMAT </w:instrText>
        </w:r>
        <w:r>
          <w:fldChar w:fldCharType="separate"/>
        </w:r>
        <w:r w:rsidR="00E70C6B">
          <w:rPr>
            <w:noProof/>
          </w:rPr>
          <w:t>2</w:t>
        </w:r>
        <w:r>
          <w:fldChar w:fldCharType="end"/>
        </w:r>
      </w:p>
    </w:sdtContent>
  </w:sdt>
  <w:p w14:paraId="7FDCF44A" w14:textId="77777777" w:rsidR="00826146" w:rsidRDefault="008261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59EB8" w14:textId="77777777" w:rsidR="00C20537" w:rsidRDefault="00C20537">
      <w:r>
        <w:separator/>
      </w:r>
    </w:p>
  </w:footnote>
  <w:footnote w:type="continuationSeparator" w:id="0">
    <w:p w14:paraId="55A630EC" w14:textId="77777777" w:rsidR="00C20537" w:rsidRDefault="00C20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377FA"/>
    <w:multiLevelType w:val="multilevel"/>
    <w:tmpl w:val="11D377FA"/>
    <w:lvl w:ilvl="0">
      <w:start w:val="1"/>
      <w:numFmt w:val="upperRoman"/>
      <w:lvlText w:val="%1."/>
      <w:lvlJc w:val="left"/>
      <w:pPr>
        <w:ind w:left="862" w:hanging="72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1EC52885"/>
    <w:multiLevelType w:val="multilevel"/>
    <w:tmpl w:val="1EC52885"/>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2933BCD"/>
    <w:multiLevelType w:val="hybridMultilevel"/>
    <w:tmpl w:val="731A4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24B01"/>
    <w:multiLevelType w:val="multilevel"/>
    <w:tmpl w:val="BC348F98"/>
    <w:lvl w:ilvl="0">
      <w:start w:val="2"/>
      <w:numFmt w:val="upperRoman"/>
      <w:lvlText w:val="%1."/>
      <w:lvlJc w:val="left"/>
      <w:pPr>
        <w:ind w:left="72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5C84894"/>
    <w:multiLevelType w:val="multilevel"/>
    <w:tmpl w:val="75C84894"/>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80C4586"/>
    <w:multiLevelType w:val="multilevel"/>
    <w:tmpl w:val="780C45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A6"/>
    <w:rsid w:val="0000024A"/>
    <w:rsid w:val="00001691"/>
    <w:rsid w:val="000019B6"/>
    <w:rsid w:val="00002E4A"/>
    <w:rsid w:val="000040A1"/>
    <w:rsid w:val="000042B4"/>
    <w:rsid w:val="00006F20"/>
    <w:rsid w:val="0000707B"/>
    <w:rsid w:val="0001318A"/>
    <w:rsid w:val="00013621"/>
    <w:rsid w:val="0001442E"/>
    <w:rsid w:val="000155D5"/>
    <w:rsid w:val="000160F3"/>
    <w:rsid w:val="00017ABC"/>
    <w:rsid w:val="00017D04"/>
    <w:rsid w:val="00017EE2"/>
    <w:rsid w:val="00017F7F"/>
    <w:rsid w:val="0002299E"/>
    <w:rsid w:val="00024F37"/>
    <w:rsid w:val="00025015"/>
    <w:rsid w:val="000260DD"/>
    <w:rsid w:val="000265F7"/>
    <w:rsid w:val="00026B13"/>
    <w:rsid w:val="00027469"/>
    <w:rsid w:val="00031D8D"/>
    <w:rsid w:val="0003205B"/>
    <w:rsid w:val="00033179"/>
    <w:rsid w:val="00034170"/>
    <w:rsid w:val="000353DD"/>
    <w:rsid w:val="00035D17"/>
    <w:rsid w:val="000369EF"/>
    <w:rsid w:val="00036F17"/>
    <w:rsid w:val="00040B7B"/>
    <w:rsid w:val="00042264"/>
    <w:rsid w:val="00043471"/>
    <w:rsid w:val="00043911"/>
    <w:rsid w:val="00044209"/>
    <w:rsid w:val="0004452D"/>
    <w:rsid w:val="00046B44"/>
    <w:rsid w:val="00047E16"/>
    <w:rsid w:val="000503A8"/>
    <w:rsid w:val="00054869"/>
    <w:rsid w:val="00054DF8"/>
    <w:rsid w:val="000563C0"/>
    <w:rsid w:val="00057629"/>
    <w:rsid w:val="00057EC8"/>
    <w:rsid w:val="00060E2F"/>
    <w:rsid w:val="00061E6F"/>
    <w:rsid w:val="0006216F"/>
    <w:rsid w:val="00062BA0"/>
    <w:rsid w:val="0006409E"/>
    <w:rsid w:val="00064A6B"/>
    <w:rsid w:val="00064E28"/>
    <w:rsid w:val="00070830"/>
    <w:rsid w:val="00072AAD"/>
    <w:rsid w:val="00073195"/>
    <w:rsid w:val="000733D3"/>
    <w:rsid w:val="0007609F"/>
    <w:rsid w:val="00076B61"/>
    <w:rsid w:val="00076C55"/>
    <w:rsid w:val="000808EE"/>
    <w:rsid w:val="00081475"/>
    <w:rsid w:val="00083DB6"/>
    <w:rsid w:val="00083EAF"/>
    <w:rsid w:val="00084EE5"/>
    <w:rsid w:val="00084F56"/>
    <w:rsid w:val="00085904"/>
    <w:rsid w:val="00086114"/>
    <w:rsid w:val="00087383"/>
    <w:rsid w:val="00087C48"/>
    <w:rsid w:val="00090676"/>
    <w:rsid w:val="0009222E"/>
    <w:rsid w:val="00092376"/>
    <w:rsid w:val="0009320D"/>
    <w:rsid w:val="00094481"/>
    <w:rsid w:val="000949D2"/>
    <w:rsid w:val="00094AE3"/>
    <w:rsid w:val="00095300"/>
    <w:rsid w:val="0009621B"/>
    <w:rsid w:val="000A06E8"/>
    <w:rsid w:val="000A437E"/>
    <w:rsid w:val="000A51DB"/>
    <w:rsid w:val="000A5DF9"/>
    <w:rsid w:val="000A6298"/>
    <w:rsid w:val="000A71F1"/>
    <w:rsid w:val="000B036B"/>
    <w:rsid w:val="000B139A"/>
    <w:rsid w:val="000B1818"/>
    <w:rsid w:val="000B193C"/>
    <w:rsid w:val="000B391A"/>
    <w:rsid w:val="000B3D76"/>
    <w:rsid w:val="000B4945"/>
    <w:rsid w:val="000B55D8"/>
    <w:rsid w:val="000B650E"/>
    <w:rsid w:val="000B665D"/>
    <w:rsid w:val="000B7506"/>
    <w:rsid w:val="000B753E"/>
    <w:rsid w:val="000C3277"/>
    <w:rsid w:val="000C3586"/>
    <w:rsid w:val="000C3625"/>
    <w:rsid w:val="000C4A4F"/>
    <w:rsid w:val="000C54A4"/>
    <w:rsid w:val="000C614B"/>
    <w:rsid w:val="000C7D63"/>
    <w:rsid w:val="000C7EAF"/>
    <w:rsid w:val="000C7EEC"/>
    <w:rsid w:val="000D0889"/>
    <w:rsid w:val="000D23B9"/>
    <w:rsid w:val="000D2B20"/>
    <w:rsid w:val="000D315E"/>
    <w:rsid w:val="000D403B"/>
    <w:rsid w:val="000D4132"/>
    <w:rsid w:val="000D4C09"/>
    <w:rsid w:val="000E0EA4"/>
    <w:rsid w:val="000E2C2D"/>
    <w:rsid w:val="000E3A58"/>
    <w:rsid w:val="000E6E61"/>
    <w:rsid w:val="000E6FCF"/>
    <w:rsid w:val="000E74F5"/>
    <w:rsid w:val="000F1118"/>
    <w:rsid w:val="000F26C2"/>
    <w:rsid w:val="000F40EF"/>
    <w:rsid w:val="000F6105"/>
    <w:rsid w:val="000F6E88"/>
    <w:rsid w:val="000F7896"/>
    <w:rsid w:val="00100251"/>
    <w:rsid w:val="00101A9B"/>
    <w:rsid w:val="00101BBD"/>
    <w:rsid w:val="001023B0"/>
    <w:rsid w:val="0010482B"/>
    <w:rsid w:val="00105808"/>
    <w:rsid w:val="001067AA"/>
    <w:rsid w:val="00106FB3"/>
    <w:rsid w:val="00106FE8"/>
    <w:rsid w:val="00107736"/>
    <w:rsid w:val="00107740"/>
    <w:rsid w:val="001077E3"/>
    <w:rsid w:val="00107E28"/>
    <w:rsid w:val="001110C2"/>
    <w:rsid w:val="00112E9E"/>
    <w:rsid w:val="001147BA"/>
    <w:rsid w:val="0011501B"/>
    <w:rsid w:val="00115083"/>
    <w:rsid w:val="00115131"/>
    <w:rsid w:val="001178FB"/>
    <w:rsid w:val="001217EF"/>
    <w:rsid w:val="00121CCC"/>
    <w:rsid w:val="001250F7"/>
    <w:rsid w:val="00125245"/>
    <w:rsid w:val="00126BBF"/>
    <w:rsid w:val="00130ADF"/>
    <w:rsid w:val="00131281"/>
    <w:rsid w:val="001313D8"/>
    <w:rsid w:val="0013230E"/>
    <w:rsid w:val="00133A3B"/>
    <w:rsid w:val="0013619D"/>
    <w:rsid w:val="0013676D"/>
    <w:rsid w:val="00137A13"/>
    <w:rsid w:val="001437D1"/>
    <w:rsid w:val="001459BC"/>
    <w:rsid w:val="0014608E"/>
    <w:rsid w:val="0014728C"/>
    <w:rsid w:val="001500EA"/>
    <w:rsid w:val="00152085"/>
    <w:rsid w:val="001528E8"/>
    <w:rsid w:val="00153B2A"/>
    <w:rsid w:val="0015446A"/>
    <w:rsid w:val="001544DC"/>
    <w:rsid w:val="0015762E"/>
    <w:rsid w:val="00157B5B"/>
    <w:rsid w:val="00160148"/>
    <w:rsid w:val="0016186D"/>
    <w:rsid w:val="00161A61"/>
    <w:rsid w:val="00164F79"/>
    <w:rsid w:val="00164FF3"/>
    <w:rsid w:val="00165A07"/>
    <w:rsid w:val="00165C92"/>
    <w:rsid w:val="00165D35"/>
    <w:rsid w:val="0016702F"/>
    <w:rsid w:val="0016785A"/>
    <w:rsid w:val="00167EF9"/>
    <w:rsid w:val="0017030A"/>
    <w:rsid w:val="00170D4E"/>
    <w:rsid w:val="00172493"/>
    <w:rsid w:val="00172E0E"/>
    <w:rsid w:val="00173986"/>
    <w:rsid w:val="0017630C"/>
    <w:rsid w:val="001776C1"/>
    <w:rsid w:val="00177CD3"/>
    <w:rsid w:val="00177EC3"/>
    <w:rsid w:val="00180B7B"/>
    <w:rsid w:val="00181323"/>
    <w:rsid w:val="0018173D"/>
    <w:rsid w:val="00181DB6"/>
    <w:rsid w:val="0019189C"/>
    <w:rsid w:val="001919CC"/>
    <w:rsid w:val="0019387C"/>
    <w:rsid w:val="001945C9"/>
    <w:rsid w:val="001A0854"/>
    <w:rsid w:val="001A0AEA"/>
    <w:rsid w:val="001A1AA3"/>
    <w:rsid w:val="001A1AE5"/>
    <w:rsid w:val="001A1D31"/>
    <w:rsid w:val="001A2A6E"/>
    <w:rsid w:val="001A374F"/>
    <w:rsid w:val="001A4420"/>
    <w:rsid w:val="001A78A0"/>
    <w:rsid w:val="001A7C31"/>
    <w:rsid w:val="001B1912"/>
    <w:rsid w:val="001B1AD6"/>
    <w:rsid w:val="001B22D1"/>
    <w:rsid w:val="001B23D0"/>
    <w:rsid w:val="001B2B36"/>
    <w:rsid w:val="001B3B27"/>
    <w:rsid w:val="001B45F2"/>
    <w:rsid w:val="001B4FE1"/>
    <w:rsid w:val="001B649A"/>
    <w:rsid w:val="001B6DD8"/>
    <w:rsid w:val="001B7961"/>
    <w:rsid w:val="001C2EA5"/>
    <w:rsid w:val="001C33B5"/>
    <w:rsid w:val="001C3EF4"/>
    <w:rsid w:val="001C4735"/>
    <w:rsid w:val="001C55B8"/>
    <w:rsid w:val="001C6BF4"/>
    <w:rsid w:val="001C7510"/>
    <w:rsid w:val="001C7F48"/>
    <w:rsid w:val="001D0467"/>
    <w:rsid w:val="001D7448"/>
    <w:rsid w:val="001E058E"/>
    <w:rsid w:val="001E0BD4"/>
    <w:rsid w:val="001E0D0D"/>
    <w:rsid w:val="001E10D6"/>
    <w:rsid w:val="001E11B1"/>
    <w:rsid w:val="001E2092"/>
    <w:rsid w:val="001E236E"/>
    <w:rsid w:val="001E5470"/>
    <w:rsid w:val="001E55B3"/>
    <w:rsid w:val="001E69E4"/>
    <w:rsid w:val="001E6A4B"/>
    <w:rsid w:val="001E708B"/>
    <w:rsid w:val="001E7255"/>
    <w:rsid w:val="001F14A2"/>
    <w:rsid w:val="001F1E7E"/>
    <w:rsid w:val="001F418F"/>
    <w:rsid w:val="001F6D5C"/>
    <w:rsid w:val="001F700D"/>
    <w:rsid w:val="001F7034"/>
    <w:rsid w:val="001F733F"/>
    <w:rsid w:val="00200720"/>
    <w:rsid w:val="00201FA4"/>
    <w:rsid w:val="00210C82"/>
    <w:rsid w:val="00210E9C"/>
    <w:rsid w:val="00211627"/>
    <w:rsid w:val="002116FE"/>
    <w:rsid w:val="00213877"/>
    <w:rsid w:val="00213BDB"/>
    <w:rsid w:val="002153E2"/>
    <w:rsid w:val="00215543"/>
    <w:rsid w:val="00217238"/>
    <w:rsid w:val="00217BF3"/>
    <w:rsid w:val="00220BDB"/>
    <w:rsid w:val="00221987"/>
    <w:rsid w:val="00221B2B"/>
    <w:rsid w:val="00223491"/>
    <w:rsid w:val="00223AFB"/>
    <w:rsid w:val="00225653"/>
    <w:rsid w:val="00227A62"/>
    <w:rsid w:val="00230EAE"/>
    <w:rsid w:val="00231324"/>
    <w:rsid w:val="00231F26"/>
    <w:rsid w:val="00232ED4"/>
    <w:rsid w:val="0023360D"/>
    <w:rsid w:val="002337CA"/>
    <w:rsid w:val="00233A87"/>
    <w:rsid w:val="00233D49"/>
    <w:rsid w:val="0023404B"/>
    <w:rsid w:val="002348DD"/>
    <w:rsid w:val="00234AB0"/>
    <w:rsid w:val="00234B65"/>
    <w:rsid w:val="002354D3"/>
    <w:rsid w:val="00235C64"/>
    <w:rsid w:val="00235EAD"/>
    <w:rsid w:val="00236D36"/>
    <w:rsid w:val="00237F49"/>
    <w:rsid w:val="002404DC"/>
    <w:rsid w:val="002404F7"/>
    <w:rsid w:val="00244CF8"/>
    <w:rsid w:val="00250C5C"/>
    <w:rsid w:val="00251605"/>
    <w:rsid w:val="00256383"/>
    <w:rsid w:val="0025682E"/>
    <w:rsid w:val="00260E13"/>
    <w:rsid w:val="002623AD"/>
    <w:rsid w:val="00262462"/>
    <w:rsid w:val="0026264B"/>
    <w:rsid w:val="00262AAC"/>
    <w:rsid w:val="00262CFA"/>
    <w:rsid w:val="00267571"/>
    <w:rsid w:val="00271940"/>
    <w:rsid w:val="00271D4C"/>
    <w:rsid w:val="00272D53"/>
    <w:rsid w:val="0027308F"/>
    <w:rsid w:val="00275947"/>
    <w:rsid w:val="00275D3D"/>
    <w:rsid w:val="00276B03"/>
    <w:rsid w:val="0027750A"/>
    <w:rsid w:val="00280BAF"/>
    <w:rsid w:val="00282E65"/>
    <w:rsid w:val="00283DDB"/>
    <w:rsid w:val="00286173"/>
    <w:rsid w:val="00286541"/>
    <w:rsid w:val="002869DC"/>
    <w:rsid w:val="00286DEC"/>
    <w:rsid w:val="0029095C"/>
    <w:rsid w:val="00290AAE"/>
    <w:rsid w:val="00294152"/>
    <w:rsid w:val="0029430E"/>
    <w:rsid w:val="00294D46"/>
    <w:rsid w:val="002A409A"/>
    <w:rsid w:val="002A41C3"/>
    <w:rsid w:val="002A4A4D"/>
    <w:rsid w:val="002A7775"/>
    <w:rsid w:val="002A7B24"/>
    <w:rsid w:val="002B04F6"/>
    <w:rsid w:val="002B2155"/>
    <w:rsid w:val="002B28B0"/>
    <w:rsid w:val="002B583C"/>
    <w:rsid w:val="002B689E"/>
    <w:rsid w:val="002B7888"/>
    <w:rsid w:val="002C122C"/>
    <w:rsid w:val="002C129E"/>
    <w:rsid w:val="002C1C7F"/>
    <w:rsid w:val="002C3361"/>
    <w:rsid w:val="002C37C4"/>
    <w:rsid w:val="002C4610"/>
    <w:rsid w:val="002C5396"/>
    <w:rsid w:val="002C6EEE"/>
    <w:rsid w:val="002D2048"/>
    <w:rsid w:val="002D214D"/>
    <w:rsid w:val="002D3A08"/>
    <w:rsid w:val="002D3CFD"/>
    <w:rsid w:val="002D519D"/>
    <w:rsid w:val="002D63DE"/>
    <w:rsid w:val="002E20A6"/>
    <w:rsid w:val="002E22BC"/>
    <w:rsid w:val="002E3AFC"/>
    <w:rsid w:val="002E3BEE"/>
    <w:rsid w:val="002E5329"/>
    <w:rsid w:val="002E5723"/>
    <w:rsid w:val="002E5889"/>
    <w:rsid w:val="002E6018"/>
    <w:rsid w:val="002E6BA8"/>
    <w:rsid w:val="002E7997"/>
    <w:rsid w:val="002E7E37"/>
    <w:rsid w:val="002F01BF"/>
    <w:rsid w:val="002F0CE9"/>
    <w:rsid w:val="002F165C"/>
    <w:rsid w:val="002F1A5E"/>
    <w:rsid w:val="002F2645"/>
    <w:rsid w:val="002F36E2"/>
    <w:rsid w:val="002F4425"/>
    <w:rsid w:val="00300E1C"/>
    <w:rsid w:val="00302192"/>
    <w:rsid w:val="00302ADB"/>
    <w:rsid w:val="00302D6F"/>
    <w:rsid w:val="00302EF5"/>
    <w:rsid w:val="003034B1"/>
    <w:rsid w:val="00304361"/>
    <w:rsid w:val="00305061"/>
    <w:rsid w:val="0030581C"/>
    <w:rsid w:val="00305E5F"/>
    <w:rsid w:val="00306119"/>
    <w:rsid w:val="00310F95"/>
    <w:rsid w:val="00312439"/>
    <w:rsid w:val="003127E6"/>
    <w:rsid w:val="00312E6E"/>
    <w:rsid w:val="00312FF3"/>
    <w:rsid w:val="003138A1"/>
    <w:rsid w:val="00315CB8"/>
    <w:rsid w:val="003179ED"/>
    <w:rsid w:val="00320940"/>
    <w:rsid w:val="00322480"/>
    <w:rsid w:val="00324260"/>
    <w:rsid w:val="003243D3"/>
    <w:rsid w:val="00324785"/>
    <w:rsid w:val="00324938"/>
    <w:rsid w:val="00325BC3"/>
    <w:rsid w:val="003278FD"/>
    <w:rsid w:val="00330048"/>
    <w:rsid w:val="00332715"/>
    <w:rsid w:val="00332FEB"/>
    <w:rsid w:val="00333AB9"/>
    <w:rsid w:val="003357CA"/>
    <w:rsid w:val="00335C69"/>
    <w:rsid w:val="00342209"/>
    <w:rsid w:val="003456BD"/>
    <w:rsid w:val="00345C6D"/>
    <w:rsid w:val="0034765C"/>
    <w:rsid w:val="003543EA"/>
    <w:rsid w:val="003545B2"/>
    <w:rsid w:val="003547E5"/>
    <w:rsid w:val="0035521E"/>
    <w:rsid w:val="00355320"/>
    <w:rsid w:val="00355C12"/>
    <w:rsid w:val="00356457"/>
    <w:rsid w:val="003569BD"/>
    <w:rsid w:val="0035736B"/>
    <w:rsid w:val="00357FC9"/>
    <w:rsid w:val="003605E7"/>
    <w:rsid w:val="0036135D"/>
    <w:rsid w:val="00362010"/>
    <w:rsid w:val="00365A86"/>
    <w:rsid w:val="00365DE7"/>
    <w:rsid w:val="003668CF"/>
    <w:rsid w:val="00371EFE"/>
    <w:rsid w:val="0037559F"/>
    <w:rsid w:val="00375B28"/>
    <w:rsid w:val="0037675E"/>
    <w:rsid w:val="00377E94"/>
    <w:rsid w:val="00381090"/>
    <w:rsid w:val="00381CD7"/>
    <w:rsid w:val="00385BC3"/>
    <w:rsid w:val="003864F6"/>
    <w:rsid w:val="00387AEA"/>
    <w:rsid w:val="00390E31"/>
    <w:rsid w:val="00391737"/>
    <w:rsid w:val="0039344D"/>
    <w:rsid w:val="00393638"/>
    <w:rsid w:val="00395B53"/>
    <w:rsid w:val="00396A04"/>
    <w:rsid w:val="00397570"/>
    <w:rsid w:val="003A3349"/>
    <w:rsid w:val="003A367D"/>
    <w:rsid w:val="003A6698"/>
    <w:rsid w:val="003A7287"/>
    <w:rsid w:val="003A7570"/>
    <w:rsid w:val="003A7CA2"/>
    <w:rsid w:val="003A7CC0"/>
    <w:rsid w:val="003B02B3"/>
    <w:rsid w:val="003B0C77"/>
    <w:rsid w:val="003B140C"/>
    <w:rsid w:val="003B2329"/>
    <w:rsid w:val="003B3971"/>
    <w:rsid w:val="003B3A2C"/>
    <w:rsid w:val="003B3F0B"/>
    <w:rsid w:val="003B424D"/>
    <w:rsid w:val="003B68CD"/>
    <w:rsid w:val="003B6E10"/>
    <w:rsid w:val="003B6FDE"/>
    <w:rsid w:val="003C1670"/>
    <w:rsid w:val="003C19BF"/>
    <w:rsid w:val="003C3704"/>
    <w:rsid w:val="003C4D24"/>
    <w:rsid w:val="003C56CF"/>
    <w:rsid w:val="003C6B82"/>
    <w:rsid w:val="003C6D3A"/>
    <w:rsid w:val="003D092D"/>
    <w:rsid w:val="003D4A34"/>
    <w:rsid w:val="003D6235"/>
    <w:rsid w:val="003D6502"/>
    <w:rsid w:val="003E080A"/>
    <w:rsid w:val="003E0917"/>
    <w:rsid w:val="003E358F"/>
    <w:rsid w:val="003E5FF2"/>
    <w:rsid w:val="003F046A"/>
    <w:rsid w:val="003F10F8"/>
    <w:rsid w:val="003F1468"/>
    <w:rsid w:val="003F4EA4"/>
    <w:rsid w:val="003F5CF6"/>
    <w:rsid w:val="003F6ACA"/>
    <w:rsid w:val="003F7AF4"/>
    <w:rsid w:val="0040003B"/>
    <w:rsid w:val="004005AC"/>
    <w:rsid w:val="004007BE"/>
    <w:rsid w:val="00402A15"/>
    <w:rsid w:val="0040434F"/>
    <w:rsid w:val="004044A8"/>
    <w:rsid w:val="00405F21"/>
    <w:rsid w:val="00406B07"/>
    <w:rsid w:val="00406FBE"/>
    <w:rsid w:val="0041039C"/>
    <w:rsid w:val="0041400E"/>
    <w:rsid w:val="004162F1"/>
    <w:rsid w:val="0042197D"/>
    <w:rsid w:val="004248D9"/>
    <w:rsid w:val="00425D30"/>
    <w:rsid w:val="00426482"/>
    <w:rsid w:val="004268A6"/>
    <w:rsid w:val="00427CE2"/>
    <w:rsid w:val="00431492"/>
    <w:rsid w:val="00434D7D"/>
    <w:rsid w:val="004353EE"/>
    <w:rsid w:val="00435F83"/>
    <w:rsid w:val="004362A6"/>
    <w:rsid w:val="00437103"/>
    <w:rsid w:val="00440136"/>
    <w:rsid w:val="0044348E"/>
    <w:rsid w:val="004449A8"/>
    <w:rsid w:val="00445A50"/>
    <w:rsid w:val="00446A81"/>
    <w:rsid w:val="00446B21"/>
    <w:rsid w:val="00446C51"/>
    <w:rsid w:val="004472F0"/>
    <w:rsid w:val="004516D9"/>
    <w:rsid w:val="00453560"/>
    <w:rsid w:val="00454D72"/>
    <w:rsid w:val="004555DD"/>
    <w:rsid w:val="00455719"/>
    <w:rsid w:val="004561E9"/>
    <w:rsid w:val="004562CD"/>
    <w:rsid w:val="0045656F"/>
    <w:rsid w:val="00456611"/>
    <w:rsid w:val="00460CE3"/>
    <w:rsid w:val="00461DC3"/>
    <w:rsid w:val="0046279C"/>
    <w:rsid w:val="00462C37"/>
    <w:rsid w:val="00463434"/>
    <w:rsid w:val="00463E98"/>
    <w:rsid w:val="00464AED"/>
    <w:rsid w:val="00464D9F"/>
    <w:rsid w:val="00465223"/>
    <w:rsid w:val="0046568A"/>
    <w:rsid w:val="00467921"/>
    <w:rsid w:val="00473382"/>
    <w:rsid w:val="00473DA2"/>
    <w:rsid w:val="00475C30"/>
    <w:rsid w:val="0047738F"/>
    <w:rsid w:val="00477DA1"/>
    <w:rsid w:val="004803F0"/>
    <w:rsid w:val="004806BE"/>
    <w:rsid w:val="00481A82"/>
    <w:rsid w:val="00485B20"/>
    <w:rsid w:val="00486DF5"/>
    <w:rsid w:val="00492D8F"/>
    <w:rsid w:val="00493464"/>
    <w:rsid w:val="004939DF"/>
    <w:rsid w:val="0049586B"/>
    <w:rsid w:val="00495918"/>
    <w:rsid w:val="00495B40"/>
    <w:rsid w:val="004A2289"/>
    <w:rsid w:val="004A26E1"/>
    <w:rsid w:val="004A39EE"/>
    <w:rsid w:val="004A51ED"/>
    <w:rsid w:val="004A6FCC"/>
    <w:rsid w:val="004B13DF"/>
    <w:rsid w:val="004B1759"/>
    <w:rsid w:val="004B1ABD"/>
    <w:rsid w:val="004B23FC"/>
    <w:rsid w:val="004B254E"/>
    <w:rsid w:val="004B3C0A"/>
    <w:rsid w:val="004B3F38"/>
    <w:rsid w:val="004B64A6"/>
    <w:rsid w:val="004B65D8"/>
    <w:rsid w:val="004B7202"/>
    <w:rsid w:val="004B7CAD"/>
    <w:rsid w:val="004C0503"/>
    <w:rsid w:val="004C07F9"/>
    <w:rsid w:val="004C103A"/>
    <w:rsid w:val="004C1092"/>
    <w:rsid w:val="004C1338"/>
    <w:rsid w:val="004C7417"/>
    <w:rsid w:val="004D1B68"/>
    <w:rsid w:val="004D1FC0"/>
    <w:rsid w:val="004D210B"/>
    <w:rsid w:val="004D24D3"/>
    <w:rsid w:val="004D279E"/>
    <w:rsid w:val="004D27EE"/>
    <w:rsid w:val="004D5BA3"/>
    <w:rsid w:val="004D6ABC"/>
    <w:rsid w:val="004E1034"/>
    <w:rsid w:val="004E13AF"/>
    <w:rsid w:val="004E2CA0"/>
    <w:rsid w:val="004E40FD"/>
    <w:rsid w:val="004E789F"/>
    <w:rsid w:val="004F0E4B"/>
    <w:rsid w:val="004F1969"/>
    <w:rsid w:val="004F1FFD"/>
    <w:rsid w:val="004F49AA"/>
    <w:rsid w:val="004F521A"/>
    <w:rsid w:val="004F551E"/>
    <w:rsid w:val="005005B8"/>
    <w:rsid w:val="0050109F"/>
    <w:rsid w:val="00501F46"/>
    <w:rsid w:val="00505AF3"/>
    <w:rsid w:val="005066F6"/>
    <w:rsid w:val="00515920"/>
    <w:rsid w:val="00515AD8"/>
    <w:rsid w:val="00515ADD"/>
    <w:rsid w:val="00515DE0"/>
    <w:rsid w:val="00517A58"/>
    <w:rsid w:val="00520345"/>
    <w:rsid w:val="00520BE3"/>
    <w:rsid w:val="00522A8B"/>
    <w:rsid w:val="0052442F"/>
    <w:rsid w:val="00524BB2"/>
    <w:rsid w:val="005270B3"/>
    <w:rsid w:val="00527866"/>
    <w:rsid w:val="00530AC8"/>
    <w:rsid w:val="0053145E"/>
    <w:rsid w:val="0053190B"/>
    <w:rsid w:val="00531AC9"/>
    <w:rsid w:val="005338D3"/>
    <w:rsid w:val="00533DD2"/>
    <w:rsid w:val="00533E19"/>
    <w:rsid w:val="0053559E"/>
    <w:rsid w:val="0053566B"/>
    <w:rsid w:val="00540381"/>
    <w:rsid w:val="00542411"/>
    <w:rsid w:val="00543A0A"/>
    <w:rsid w:val="005444AB"/>
    <w:rsid w:val="00546B5F"/>
    <w:rsid w:val="005514F5"/>
    <w:rsid w:val="00552EB0"/>
    <w:rsid w:val="00554716"/>
    <w:rsid w:val="00555D3D"/>
    <w:rsid w:val="00561803"/>
    <w:rsid w:val="00562652"/>
    <w:rsid w:val="0056358F"/>
    <w:rsid w:val="005649C0"/>
    <w:rsid w:val="00565752"/>
    <w:rsid w:val="00566969"/>
    <w:rsid w:val="00566EBF"/>
    <w:rsid w:val="00571569"/>
    <w:rsid w:val="00574D0D"/>
    <w:rsid w:val="005750FB"/>
    <w:rsid w:val="00575BCE"/>
    <w:rsid w:val="0057730A"/>
    <w:rsid w:val="00577623"/>
    <w:rsid w:val="0058155C"/>
    <w:rsid w:val="00582047"/>
    <w:rsid w:val="00583D6C"/>
    <w:rsid w:val="00584568"/>
    <w:rsid w:val="00584BC8"/>
    <w:rsid w:val="00586890"/>
    <w:rsid w:val="00591469"/>
    <w:rsid w:val="00595C2D"/>
    <w:rsid w:val="005966F6"/>
    <w:rsid w:val="0059789A"/>
    <w:rsid w:val="00597910"/>
    <w:rsid w:val="005A133E"/>
    <w:rsid w:val="005A13C5"/>
    <w:rsid w:val="005A1D6C"/>
    <w:rsid w:val="005A2F37"/>
    <w:rsid w:val="005A2FF2"/>
    <w:rsid w:val="005A47ED"/>
    <w:rsid w:val="005A506E"/>
    <w:rsid w:val="005A5A3E"/>
    <w:rsid w:val="005A5D29"/>
    <w:rsid w:val="005A7989"/>
    <w:rsid w:val="005B02AB"/>
    <w:rsid w:val="005B17BE"/>
    <w:rsid w:val="005B18ED"/>
    <w:rsid w:val="005B31F7"/>
    <w:rsid w:val="005B3992"/>
    <w:rsid w:val="005B58FF"/>
    <w:rsid w:val="005B68C3"/>
    <w:rsid w:val="005B716F"/>
    <w:rsid w:val="005C204E"/>
    <w:rsid w:val="005C22D6"/>
    <w:rsid w:val="005C2F53"/>
    <w:rsid w:val="005C5DD4"/>
    <w:rsid w:val="005D0029"/>
    <w:rsid w:val="005D05C7"/>
    <w:rsid w:val="005D2904"/>
    <w:rsid w:val="005D33F6"/>
    <w:rsid w:val="005D3847"/>
    <w:rsid w:val="005D4320"/>
    <w:rsid w:val="005D4B0F"/>
    <w:rsid w:val="005D4F6E"/>
    <w:rsid w:val="005D65D5"/>
    <w:rsid w:val="005D66B3"/>
    <w:rsid w:val="005D6B6E"/>
    <w:rsid w:val="005E24DC"/>
    <w:rsid w:val="005E28B9"/>
    <w:rsid w:val="005E318B"/>
    <w:rsid w:val="005E34BD"/>
    <w:rsid w:val="005E494D"/>
    <w:rsid w:val="005E662E"/>
    <w:rsid w:val="005E6BD7"/>
    <w:rsid w:val="005E71B7"/>
    <w:rsid w:val="005F0EF5"/>
    <w:rsid w:val="005F27A0"/>
    <w:rsid w:val="005F2815"/>
    <w:rsid w:val="005F3CF4"/>
    <w:rsid w:val="005F5E73"/>
    <w:rsid w:val="005F6E40"/>
    <w:rsid w:val="005F7618"/>
    <w:rsid w:val="00601913"/>
    <w:rsid w:val="0060421A"/>
    <w:rsid w:val="00611340"/>
    <w:rsid w:val="00611644"/>
    <w:rsid w:val="0061330D"/>
    <w:rsid w:val="00615AA1"/>
    <w:rsid w:val="00615FE9"/>
    <w:rsid w:val="006174FC"/>
    <w:rsid w:val="0062007D"/>
    <w:rsid w:val="006234A3"/>
    <w:rsid w:val="00623B34"/>
    <w:rsid w:val="00624E3D"/>
    <w:rsid w:val="006259CC"/>
    <w:rsid w:val="006308CD"/>
    <w:rsid w:val="006314DE"/>
    <w:rsid w:val="00634816"/>
    <w:rsid w:val="00634CC1"/>
    <w:rsid w:val="00635197"/>
    <w:rsid w:val="0063636E"/>
    <w:rsid w:val="006363AA"/>
    <w:rsid w:val="0063758C"/>
    <w:rsid w:val="00637985"/>
    <w:rsid w:val="00642FB2"/>
    <w:rsid w:val="00643DFD"/>
    <w:rsid w:val="0064474A"/>
    <w:rsid w:val="006449AD"/>
    <w:rsid w:val="00644A56"/>
    <w:rsid w:val="00644DAA"/>
    <w:rsid w:val="00645209"/>
    <w:rsid w:val="00646267"/>
    <w:rsid w:val="006467F1"/>
    <w:rsid w:val="00646A8A"/>
    <w:rsid w:val="00647401"/>
    <w:rsid w:val="0064777F"/>
    <w:rsid w:val="00647931"/>
    <w:rsid w:val="00650169"/>
    <w:rsid w:val="00652918"/>
    <w:rsid w:val="00652E1B"/>
    <w:rsid w:val="00652E45"/>
    <w:rsid w:val="00653F32"/>
    <w:rsid w:val="006556FA"/>
    <w:rsid w:val="00656BD4"/>
    <w:rsid w:val="00657250"/>
    <w:rsid w:val="006600DC"/>
    <w:rsid w:val="00660605"/>
    <w:rsid w:val="006622B7"/>
    <w:rsid w:val="00662E0D"/>
    <w:rsid w:val="0066340F"/>
    <w:rsid w:val="0066383C"/>
    <w:rsid w:val="0066428B"/>
    <w:rsid w:val="00664488"/>
    <w:rsid w:val="00664C4E"/>
    <w:rsid w:val="00665BFE"/>
    <w:rsid w:val="00670C79"/>
    <w:rsid w:val="00670DA7"/>
    <w:rsid w:val="00671536"/>
    <w:rsid w:val="0067280E"/>
    <w:rsid w:val="0067373F"/>
    <w:rsid w:val="006737CE"/>
    <w:rsid w:val="00674168"/>
    <w:rsid w:val="00674D58"/>
    <w:rsid w:val="00674E7A"/>
    <w:rsid w:val="0067569B"/>
    <w:rsid w:val="00677B92"/>
    <w:rsid w:val="00680184"/>
    <w:rsid w:val="00680196"/>
    <w:rsid w:val="006801F0"/>
    <w:rsid w:val="006803EA"/>
    <w:rsid w:val="006813E4"/>
    <w:rsid w:val="0068307E"/>
    <w:rsid w:val="00683D39"/>
    <w:rsid w:val="00687A8C"/>
    <w:rsid w:val="00693450"/>
    <w:rsid w:val="00695912"/>
    <w:rsid w:val="00696435"/>
    <w:rsid w:val="006964C3"/>
    <w:rsid w:val="00697C9C"/>
    <w:rsid w:val="006A53C9"/>
    <w:rsid w:val="006A608F"/>
    <w:rsid w:val="006B0230"/>
    <w:rsid w:val="006B075E"/>
    <w:rsid w:val="006B0F3D"/>
    <w:rsid w:val="006B135C"/>
    <w:rsid w:val="006C1EBB"/>
    <w:rsid w:val="006C3986"/>
    <w:rsid w:val="006C4F78"/>
    <w:rsid w:val="006C63AE"/>
    <w:rsid w:val="006C63C2"/>
    <w:rsid w:val="006C711B"/>
    <w:rsid w:val="006D07D6"/>
    <w:rsid w:val="006D09F8"/>
    <w:rsid w:val="006D2138"/>
    <w:rsid w:val="006D37D0"/>
    <w:rsid w:val="006D46B5"/>
    <w:rsid w:val="006D52AD"/>
    <w:rsid w:val="006E1DDD"/>
    <w:rsid w:val="006E48E4"/>
    <w:rsid w:val="006E4FBF"/>
    <w:rsid w:val="006E6287"/>
    <w:rsid w:val="006E718D"/>
    <w:rsid w:val="006E7C08"/>
    <w:rsid w:val="006F1F12"/>
    <w:rsid w:val="006F28C3"/>
    <w:rsid w:val="006F2A8A"/>
    <w:rsid w:val="006F2F9D"/>
    <w:rsid w:val="006F350D"/>
    <w:rsid w:val="006F4543"/>
    <w:rsid w:val="006F57C0"/>
    <w:rsid w:val="006F66B1"/>
    <w:rsid w:val="006F72EC"/>
    <w:rsid w:val="006F7D98"/>
    <w:rsid w:val="00702D77"/>
    <w:rsid w:val="007050B8"/>
    <w:rsid w:val="00705F15"/>
    <w:rsid w:val="00707949"/>
    <w:rsid w:val="007118D7"/>
    <w:rsid w:val="00712405"/>
    <w:rsid w:val="00713515"/>
    <w:rsid w:val="00714C07"/>
    <w:rsid w:val="00720217"/>
    <w:rsid w:val="00721E13"/>
    <w:rsid w:val="00723783"/>
    <w:rsid w:val="00723AC4"/>
    <w:rsid w:val="00723BA7"/>
    <w:rsid w:val="00723E83"/>
    <w:rsid w:val="0072479B"/>
    <w:rsid w:val="00724EF9"/>
    <w:rsid w:val="0072598F"/>
    <w:rsid w:val="00725A79"/>
    <w:rsid w:val="007263F0"/>
    <w:rsid w:val="00726D70"/>
    <w:rsid w:val="0072764A"/>
    <w:rsid w:val="00727AF1"/>
    <w:rsid w:val="00727BB5"/>
    <w:rsid w:val="00727F76"/>
    <w:rsid w:val="00730AD6"/>
    <w:rsid w:val="007314E7"/>
    <w:rsid w:val="00733A33"/>
    <w:rsid w:val="00735154"/>
    <w:rsid w:val="007359E9"/>
    <w:rsid w:val="00736318"/>
    <w:rsid w:val="00741AA7"/>
    <w:rsid w:val="00742BEF"/>
    <w:rsid w:val="0074315A"/>
    <w:rsid w:val="007478F2"/>
    <w:rsid w:val="00750680"/>
    <w:rsid w:val="00752B06"/>
    <w:rsid w:val="00757DD1"/>
    <w:rsid w:val="00757F29"/>
    <w:rsid w:val="007600AE"/>
    <w:rsid w:val="00760C9F"/>
    <w:rsid w:val="0076289B"/>
    <w:rsid w:val="00763CC1"/>
    <w:rsid w:val="007640CC"/>
    <w:rsid w:val="007642C7"/>
    <w:rsid w:val="00764804"/>
    <w:rsid w:val="00766847"/>
    <w:rsid w:val="007678A9"/>
    <w:rsid w:val="00770E01"/>
    <w:rsid w:val="00771F93"/>
    <w:rsid w:val="0077206C"/>
    <w:rsid w:val="00774611"/>
    <w:rsid w:val="0077582F"/>
    <w:rsid w:val="00775875"/>
    <w:rsid w:val="0078437B"/>
    <w:rsid w:val="00784848"/>
    <w:rsid w:val="00784A78"/>
    <w:rsid w:val="00784C56"/>
    <w:rsid w:val="00785492"/>
    <w:rsid w:val="007863E3"/>
    <w:rsid w:val="00786699"/>
    <w:rsid w:val="007872E4"/>
    <w:rsid w:val="00787457"/>
    <w:rsid w:val="00787A65"/>
    <w:rsid w:val="007912A9"/>
    <w:rsid w:val="007926E1"/>
    <w:rsid w:val="007928CE"/>
    <w:rsid w:val="00793B14"/>
    <w:rsid w:val="007949E0"/>
    <w:rsid w:val="00794CB0"/>
    <w:rsid w:val="00795327"/>
    <w:rsid w:val="00795ECB"/>
    <w:rsid w:val="00797A35"/>
    <w:rsid w:val="007A092D"/>
    <w:rsid w:val="007A20E4"/>
    <w:rsid w:val="007A28A7"/>
    <w:rsid w:val="007A294C"/>
    <w:rsid w:val="007A355E"/>
    <w:rsid w:val="007A4087"/>
    <w:rsid w:val="007A506B"/>
    <w:rsid w:val="007A5914"/>
    <w:rsid w:val="007A5DF7"/>
    <w:rsid w:val="007B37F8"/>
    <w:rsid w:val="007B5C1D"/>
    <w:rsid w:val="007B66A7"/>
    <w:rsid w:val="007C16BF"/>
    <w:rsid w:val="007C358C"/>
    <w:rsid w:val="007C3CB1"/>
    <w:rsid w:val="007D1532"/>
    <w:rsid w:val="007D26F6"/>
    <w:rsid w:val="007D383B"/>
    <w:rsid w:val="007D59C7"/>
    <w:rsid w:val="007D5B0F"/>
    <w:rsid w:val="007D6BE6"/>
    <w:rsid w:val="007E0407"/>
    <w:rsid w:val="007E2B3E"/>
    <w:rsid w:val="007E2F46"/>
    <w:rsid w:val="007E315C"/>
    <w:rsid w:val="007E6D8E"/>
    <w:rsid w:val="007E7000"/>
    <w:rsid w:val="007F14F5"/>
    <w:rsid w:val="007F2702"/>
    <w:rsid w:val="007F5ED6"/>
    <w:rsid w:val="007F7226"/>
    <w:rsid w:val="0080159B"/>
    <w:rsid w:val="008041B9"/>
    <w:rsid w:val="008042E9"/>
    <w:rsid w:val="0080435E"/>
    <w:rsid w:val="00805594"/>
    <w:rsid w:val="00806A0E"/>
    <w:rsid w:val="00810336"/>
    <w:rsid w:val="00812F1A"/>
    <w:rsid w:val="00813888"/>
    <w:rsid w:val="008147DC"/>
    <w:rsid w:val="00816500"/>
    <w:rsid w:val="00820027"/>
    <w:rsid w:val="00820EC8"/>
    <w:rsid w:val="00821135"/>
    <w:rsid w:val="00821A2E"/>
    <w:rsid w:val="00821E21"/>
    <w:rsid w:val="00822951"/>
    <w:rsid w:val="00823B75"/>
    <w:rsid w:val="00823B92"/>
    <w:rsid w:val="00824F0E"/>
    <w:rsid w:val="008259E4"/>
    <w:rsid w:val="00826146"/>
    <w:rsid w:val="00826EED"/>
    <w:rsid w:val="00830522"/>
    <w:rsid w:val="00830CBA"/>
    <w:rsid w:val="00831008"/>
    <w:rsid w:val="008311B3"/>
    <w:rsid w:val="00831387"/>
    <w:rsid w:val="00833990"/>
    <w:rsid w:val="008339F9"/>
    <w:rsid w:val="00833F5C"/>
    <w:rsid w:val="00834D8E"/>
    <w:rsid w:val="00837BAB"/>
    <w:rsid w:val="00842DDA"/>
    <w:rsid w:val="00843606"/>
    <w:rsid w:val="008438F3"/>
    <w:rsid w:val="00843D49"/>
    <w:rsid w:val="00843E24"/>
    <w:rsid w:val="008441CD"/>
    <w:rsid w:val="0084634B"/>
    <w:rsid w:val="0084657A"/>
    <w:rsid w:val="00847EA6"/>
    <w:rsid w:val="00850946"/>
    <w:rsid w:val="008532C2"/>
    <w:rsid w:val="00857F6E"/>
    <w:rsid w:val="00861374"/>
    <w:rsid w:val="008619CE"/>
    <w:rsid w:val="00862B66"/>
    <w:rsid w:val="0086371F"/>
    <w:rsid w:val="00864059"/>
    <w:rsid w:val="008659D4"/>
    <w:rsid w:val="008705E3"/>
    <w:rsid w:val="00870635"/>
    <w:rsid w:val="00870904"/>
    <w:rsid w:val="0087248D"/>
    <w:rsid w:val="00873608"/>
    <w:rsid w:val="00873E3D"/>
    <w:rsid w:val="008752C0"/>
    <w:rsid w:val="00875BCB"/>
    <w:rsid w:val="00876521"/>
    <w:rsid w:val="00880D07"/>
    <w:rsid w:val="00881537"/>
    <w:rsid w:val="00883375"/>
    <w:rsid w:val="008838DB"/>
    <w:rsid w:val="00883F00"/>
    <w:rsid w:val="0088623E"/>
    <w:rsid w:val="0089074E"/>
    <w:rsid w:val="008909E5"/>
    <w:rsid w:val="00890D08"/>
    <w:rsid w:val="00892960"/>
    <w:rsid w:val="00894A0A"/>
    <w:rsid w:val="00894B05"/>
    <w:rsid w:val="008955BC"/>
    <w:rsid w:val="008965DD"/>
    <w:rsid w:val="008975E9"/>
    <w:rsid w:val="008A1CD6"/>
    <w:rsid w:val="008A2683"/>
    <w:rsid w:val="008A2707"/>
    <w:rsid w:val="008A2CEF"/>
    <w:rsid w:val="008A3EC9"/>
    <w:rsid w:val="008A44AD"/>
    <w:rsid w:val="008A45B5"/>
    <w:rsid w:val="008A4B30"/>
    <w:rsid w:val="008A5644"/>
    <w:rsid w:val="008A6377"/>
    <w:rsid w:val="008A7480"/>
    <w:rsid w:val="008B186A"/>
    <w:rsid w:val="008B2AA3"/>
    <w:rsid w:val="008B33C1"/>
    <w:rsid w:val="008B4F8B"/>
    <w:rsid w:val="008B707D"/>
    <w:rsid w:val="008B7A75"/>
    <w:rsid w:val="008C0D09"/>
    <w:rsid w:val="008C1811"/>
    <w:rsid w:val="008C2535"/>
    <w:rsid w:val="008C2751"/>
    <w:rsid w:val="008C471E"/>
    <w:rsid w:val="008C50AB"/>
    <w:rsid w:val="008C615B"/>
    <w:rsid w:val="008C6322"/>
    <w:rsid w:val="008C7047"/>
    <w:rsid w:val="008D050C"/>
    <w:rsid w:val="008D0751"/>
    <w:rsid w:val="008D3085"/>
    <w:rsid w:val="008D498E"/>
    <w:rsid w:val="008D4B12"/>
    <w:rsid w:val="008D69F2"/>
    <w:rsid w:val="008E14AF"/>
    <w:rsid w:val="008E1534"/>
    <w:rsid w:val="008E3D03"/>
    <w:rsid w:val="008E43D1"/>
    <w:rsid w:val="008E48D1"/>
    <w:rsid w:val="008E534F"/>
    <w:rsid w:val="008E56F8"/>
    <w:rsid w:val="008E5DAF"/>
    <w:rsid w:val="008E61EE"/>
    <w:rsid w:val="008E64CB"/>
    <w:rsid w:val="008F06E5"/>
    <w:rsid w:val="008F29CC"/>
    <w:rsid w:val="008F2D62"/>
    <w:rsid w:val="008F32CD"/>
    <w:rsid w:val="008F3303"/>
    <w:rsid w:val="008F35A0"/>
    <w:rsid w:val="008F41E3"/>
    <w:rsid w:val="008F4914"/>
    <w:rsid w:val="008F56C4"/>
    <w:rsid w:val="008F6907"/>
    <w:rsid w:val="008F7D4B"/>
    <w:rsid w:val="009009A6"/>
    <w:rsid w:val="00901A7B"/>
    <w:rsid w:val="0090277D"/>
    <w:rsid w:val="0090418B"/>
    <w:rsid w:val="0090444F"/>
    <w:rsid w:val="00905E05"/>
    <w:rsid w:val="009064F7"/>
    <w:rsid w:val="009079AE"/>
    <w:rsid w:val="00907A27"/>
    <w:rsid w:val="00907A95"/>
    <w:rsid w:val="00907AEA"/>
    <w:rsid w:val="00910134"/>
    <w:rsid w:val="00911BC0"/>
    <w:rsid w:val="00911D4B"/>
    <w:rsid w:val="0091403A"/>
    <w:rsid w:val="00914DAC"/>
    <w:rsid w:val="00915DA8"/>
    <w:rsid w:val="00916869"/>
    <w:rsid w:val="00916B41"/>
    <w:rsid w:val="009176B0"/>
    <w:rsid w:val="00920D1C"/>
    <w:rsid w:val="0092117E"/>
    <w:rsid w:val="00921ADF"/>
    <w:rsid w:val="00922398"/>
    <w:rsid w:val="00923B3E"/>
    <w:rsid w:val="009240BF"/>
    <w:rsid w:val="0092665F"/>
    <w:rsid w:val="00926ABC"/>
    <w:rsid w:val="009276B0"/>
    <w:rsid w:val="00927D03"/>
    <w:rsid w:val="00931AF0"/>
    <w:rsid w:val="009359F1"/>
    <w:rsid w:val="00935C77"/>
    <w:rsid w:val="00935D53"/>
    <w:rsid w:val="00936CC4"/>
    <w:rsid w:val="00937743"/>
    <w:rsid w:val="009377E2"/>
    <w:rsid w:val="00937C35"/>
    <w:rsid w:val="009404CF"/>
    <w:rsid w:val="00944ABA"/>
    <w:rsid w:val="00944DBB"/>
    <w:rsid w:val="00947EA6"/>
    <w:rsid w:val="00951B74"/>
    <w:rsid w:val="00952EF3"/>
    <w:rsid w:val="00953180"/>
    <w:rsid w:val="00954311"/>
    <w:rsid w:val="0095585A"/>
    <w:rsid w:val="0095587D"/>
    <w:rsid w:val="00956192"/>
    <w:rsid w:val="009561EC"/>
    <w:rsid w:val="00964F05"/>
    <w:rsid w:val="00965DE3"/>
    <w:rsid w:val="0096680B"/>
    <w:rsid w:val="0096697E"/>
    <w:rsid w:val="00966D02"/>
    <w:rsid w:val="009678EA"/>
    <w:rsid w:val="00972192"/>
    <w:rsid w:val="00973127"/>
    <w:rsid w:val="00973701"/>
    <w:rsid w:val="00973B5C"/>
    <w:rsid w:val="00973DEE"/>
    <w:rsid w:val="00975D7D"/>
    <w:rsid w:val="00976515"/>
    <w:rsid w:val="00980148"/>
    <w:rsid w:val="00980800"/>
    <w:rsid w:val="009817E8"/>
    <w:rsid w:val="00981C86"/>
    <w:rsid w:val="00982B95"/>
    <w:rsid w:val="009833F1"/>
    <w:rsid w:val="00983417"/>
    <w:rsid w:val="00983CAC"/>
    <w:rsid w:val="009842DA"/>
    <w:rsid w:val="00985AB5"/>
    <w:rsid w:val="00987A22"/>
    <w:rsid w:val="00990092"/>
    <w:rsid w:val="00990429"/>
    <w:rsid w:val="0099350E"/>
    <w:rsid w:val="00995FEB"/>
    <w:rsid w:val="00996E8E"/>
    <w:rsid w:val="009A0524"/>
    <w:rsid w:val="009A06A1"/>
    <w:rsid w:val="009A665B"/>
    <w:rsid w:val="009A6CC6"/>
    <w:rsid w:val="009A76F9"/>
    <w:rsid w:val="009B1F54"/>
    <w:rsid w:val="009B23EA"/>
    <w:rsid w:val="009B3132"/>
    <w:rsid w:val="009B3290"/>
    <w:rsid w:val="009B381E"/>
    <w:rsid w:val="009B70B4"/>
    <w:rsid w:val="009B71DC"/>
    <w:rsid w:val="009C238D"/>
    <w:rsid w:val="009C25D9"/>
    <w:rsid w:val="009C2752"/>
    <w:rsid w:val="009C2B24"/>
    <w:rsid w:val="009C2D1E"/>
    <w:rsid w:val="009C44A4"/>
    <w:rsid w:val="009C5EAE"/>
    <w:rsid w:val="009C6624"/>
    <w:rsid w:val="009C7327"/>
    <w:rsid w:val="009D1BA6"/>
    <w:rsid w:val="009D4DAF"/>
    <w:rsid w:val="009D4F3B"/>
    <w:rsid w:val="009D5452"/>
    <w:rsid w:val="009D5A94"/>
    <w:rsid w:val="009D5C89"/>
    <w:rsid w:val="009D6969"/>
    <w:rsid w:val="009E1366"/>
    <w:rsid w:val="009E29C9"/>
    <w:rsid w:val="009E4949"/>
    <w:rsid w:val="009E5884"/>
    <w:rsid w:val="009E58ED"/>
    <w:rsid w:val="009E6374"/>
    <w:rsid w:val="009E63F1"/>
    <w:rsid w:val="009E6591"/>
    <w:rsid w:val="009F06B0"/>
    <w:rsid w:val="009F1424"/>
    <w:rsid w:val="009F22AF"/>
    <w:rsid w:val="009F327C"/>
    <w:rsid w:val="009F366F"/>
    <w:rsid w:val="009F4CAE"/>
    <w:rsid w:val="009F54C3"/>
    <w:rsid w:val="009F799C"/>
    <w:rsid w:val="00A00346"/>
    <w:rsid w:val="00A0637C"/>
    <w:rsid w:val="00A07A20"/>
    <w:rsid w:val="00A112E7"/>
    <w:rsid w:val="00A11856"/>
    <w:rsid w:val="00A1291A"/>
    <w:rsid w:val="00A17529"/>
    <w:rsid w:val="00A17682"/>
    <w:rsid w:val="00A20532"/>
    <w:rsid w:val="00A20814"/>
    <w:rsid w:val="00A20D72"/>
    <w:rsid w:val="00A225D0"/>
    <w:rsid w:val="00A24686"/>
    <w:rsid w:val="00A25593"/>
    <w:rsid w:val="00A27068"/>
    <w:rsid w:val="00A2708A"/>
    <w:rsid w:val="00A3269F"/>
    <w:rsid w:val="00A33926"/>
    <w:rsid w:val="00A34796"/>
    <w:rsid w:val="00A35590"/>
    <w:rsid w:val="00A401BA"/>
    <w:rsid w:val="00A4290C"/>
    <w:rsid w:val="00A42D45"/>
    <w:rsid w:val="00A44D23"/>
    <w:rsid w:val="00A473C9"/>
    <w:rsid w:val="00A503B1"/>
    <w:rsid w:val="00A52229"/>
    <w:rsid w:val="00A54F6C"/>
    <w:rsid w:val="00A56581"/>
    <w:rsid w:val="00A56AF1"/>
    <w:rsid w:val="00A60FAE"/>
    <w:rsid w:val="00A61B9E"/>
    <w:rsid w:val="00A63839"/>
    <w:rsid w:val="00A6445C"/>
    <w:rsid w:val="00A6751F"/>
    <w:rsid w:val="00A70147"/>
    <w:rsid w:val="00A73ACA"/>
    <w:rsid w:val="00A749BF"/>
    <w:rsid w:val="00A74CC6"/>
    <w:rsid w:val="00A75729"/>
    <w:rsid w:val="00A76B01"/>
    <w:rsid w:val="00A76DC3"/>
    <w:rsid w:val="00A77929"/>
    <w:rsid w:val="00A80E81"/>
    <w:rsid w:val="00A822B2"/>
    <w:rsid w:val="00A82648"/>
    <w:rsid w:val="00A82B71"/>
    <w:rsid w:val="00A83729"/>
    <w:rsid w:val="00A85D7B"/>
    <w:rsid w:val="00A87739"/>
    <w:rsid w:val="00A90503"/>
    <w:rsid w:val="00A93216"/>
    <w:rsid w:val="00A93F34"/>
    <w:rsid w:val="00A94B13"/>
    <w:rsid w:val="00A96C0B"/>
    <w:rsid w:val="00A96D1B"/>
    <w:rsid w:val="00A97519"/>
    <w:rsid w:val="00A979ED"/>
    <w:rsid w:val="00AA0BC7"/>
    <w:rsid w:val="00AA203D"/>
    <w:rsid w:val="00AA279E"/>
    <w:rsid w:val="00AA2D93"/>
    <w:rsid w:val="00AA4590"/>
    <w:rsid w:val="00AA537E"/>
    <w:rsid w:val="00AA59A0"/>
    <w:rsid w:val="00AA6FD4"/>
    <w:rsid w:val="00AB0812"/>
    <w:rsid w:val="00AB104A"/>
    <w:rsid w:val="00AB2920"/>
    <w:rsid w:val="00AB385C"/>
    <w:rsid w:val="00AC0A94"/>
    <w:rsid w:val="00AC1A4B"/>
    <w:rsid w:val="00AC2AEE"/>
    <w:rsid w:val="00AC3642"/>
    <w:rsid w:val="00AD0126"/>
    <w:rsid w:val="00AD01C2"/>
    <w:rsid w:val="00AD0FCB"/>
    <w:rsid w:val="00AD159C"/>
    <w:rsid w:val="00AD2393"/>
    <w:rsid w:val="00AD320D"/>
    <w:rsid w:val="00AD4DD2"/>
    <w:rsid w:val="00AE1333"/>
    <w:rsid w:val="00AE6FA7"/>
    <w:rsid w:val="00AE7035"/>
    <w:rsid w:val="00AE7757"/>
    <w:rsid w:val="00AE7CD4"/>
    <w:rsid w:val="00AF060E"/>
    <w:rsid w:val="00AF21BC"/>
    <w:rsid w:val="00AF2D42"/>
    <w:rsid w:val="00AF3504"/>
    <w:rsid w:val="00AF4C2D"/>
    <w:rsid w:val="00AF569A"/>
    <w:rsid w:val="00AF572D"/>
    <w:rsid w:val="00AF5EEF"/>
    <w:rsid w:val="00AF79CB"/>
    <w:rsid w:val="00AF7F1E"/>
    <w:rsid w:val="00B012CD"/>
    <w:rsid w:val="00B01639"/>
    <w:rsid w:val="00B035FC"/>
    <w:rsid w:val="00B03B71"/>
    <w:rsid w:val="00B07D81"/>
    <w:rsid w:val="00B15C71"/>
    <w:rsid w:val="00B166B5"/>
    <w:rsid w:val="00B174D2"/>
    <w:rsid w:val="00B216CF"/>
    <w:rsid w:val="00B21946"/>
    <w:rsid w:val="00B246B4"/>
    <w:rsid w:val="00B262C8"/>
    <w:rsid w:val="00B26DB6"/>
    <w:rsid w:val="00B3015E"/>
    <w:rsid w:val="00B30D09"/>
    <w:rsid w:val="00B31D21"/>
    <w:rsid w:val="00B321D5"/>
    <w:rsid w:val="00B34382"/>
    <w:rsid w:val="00B34C51"/>
    <w:rsid w:val="00B3525C"/>
    <w:rsid w:val="00B36020"/>
    <w:rsid w:val="00B3735E"/>
    <w:rsid w:val="00B41404"/>
    <w:rsid w:val="00B41EA1"/>
    <w:rsid w:val="00B42A83"/>
    <w:rsid w:val="00B452A3"/>
    <w:rsid w:val="00B4537B"/>
    <w:rsid w:val="00B456E6"/>
    <w:rsid w:val="00B505F9"/>
    <w:rsid w:val="00B50E2D"/>
    <w:rsid w:val="00B510BF"/>
    <w:rsid w:val="00B523ED"/>
    <w:rsid w:val="00B5244A"/>
    <w:rsid w:val="00B531AB"/>
    <w:rsid w:val="00B53C34"/>
    <w:rsid w:val="00B651E4"/>
    <w:rsid w:val="00B65791"/>
    <w:rsid w:val="00B66A36"/>
    <w:rsid w:val="00B72438"/>
    <w:rsid w:val="00B72BAB"/>
    <w:rsid w:val="00B74559"/>
    <w:rsid w:val="00B76557"/>
    <w:rsid w:val="00B85489"/>
    <w:rsid w:val="00B87179"/>
    <w:rsid w:val="00B9048A"/>
    <w:rsid w:val="00B906E1"/>
    <w:rsid w:val="00B93B50"/>
    <w:rsid w:val="00B951FF"/>
    <w:rsid w:val="00BA000A"/>
    <w:rsid w:val="00BA0F40"/>
    <w:rsid w:val="00BA118B"/>
    <w:rsid w:val="00BA328B"/>
    <w:rsid w:val="00BA3D5F"/>
    <w:rsid w:val="00BA47F0"/>
    <w:rsid w:val="00BA4C0D"/>
    <w:rsid w:val="00BA4E0F"/>
    <w:rsid w:val="00BB0782"/>
    <w:rsid w:val="00BB0DE5"/>
    <w:rsid w:val="00BB1C7E"/>
    <w:rsid w:val="00BB2E04"/>
    <w:rsid w:val="00BB3000"/>
    <w:rsid w:val="00BB34E3"/>
    <w:rsid w:val="00BB5552"/>
    <w:rsid w:val="00BB5721"/>
    <w:rsid w:val="00BB69DB"/>
    <w:rsid w:val="00BB6F82"/>
    <w:rsid w:val="00BC2A72"/>
    <w:rsid w:val="00BC2BA2"/>
    <w:rsid w:val="00BC2ED4"/>
    <w:rsid w:val="00BC36B3"/>
    <w:rsid w:val="00BC4930"/>
    <w:rsid w:val="00BC6BCA"/>
    <w:rsid w:val="00BD0693"/>
    <w:rsid w:val="00BD08E5"/>
    <w:rsid w:val="00BD0CA8"/>
    <w:rsid w:val="00BD0CCE"/>
    <w:rsid w:val="00BD0F2D"/>
    <w:rsid w:val="00BD1014"/>
    <w:rsid w:val="00BD396E"/>
    <w:rsid w:val="00BD4914"/>
    <w:rsid w:val="00BD5085"/>
    <w:rsid w:val="00BD55B7"/>
    <w:rsid w:val="00BD659A"/>
    <w:rsid w:val="00BD7AF5"/>
    <w:rsid w:val="00BD7F12"/>
    <w:rsid w:val="00BE04CD"/>
    <w:rsid w:val="00BE0572"/>
    <w:rsid w:val="00BE0F0E"/>
    <w:rsid w:val="00BE20C3"/>
    <w:rsid w:val="00BE2331"/>
    <w:rsid w:val="00BE470D"/>
    <w:rsid w:val="00BE4A53"/>
    <w:rsid w:val="00BE4FBB"/>
    <w:rsid w:val="00BE7875"/>
    <w:rsid w:val="00BF0642"/>
    <w:rsid w:val="00BF1223"/>
    <w:rsid w:val="00BF21B1"/>
    <w:rsid w:val="00BF29AC"/>
    <w:rsid w:val="00BF377E"/>
    <w:rsid w:val="00BF4912"/>
    <w:rsid w:val="00BF4B8F"/>
    <w:rsid w:val="00C000FD"/>
    <w:rsid w:val="00C005BC"/>
    <w:rsid w:val="00C01DF1"/>
    <w:rsid w:val="00C03C6E"/>
    <w:rsid w:val="00C04D83"/>
    <w:rsid w:val="00C1070D"/>
    <w:rsid w:val="00C10B3B"/>
    <w:rsid w:val="00C11ECE"/>
    <w:rsid w:val="00C129DE"/>
    <w:rsid w:val="00C12E16"/>
    <w:rsid w:val="00C150BB"/>
    <w:rsid w:val="00C1584C"/>
    <w:rsid w:val="00C16B79"/>
    <w:rsid w:val="00C20537"/>
    <w:rsid w:val="00C2099E"/>
    <w:rsid w:val="00C224C0"/>
    <w:rsid w:val="00C22816"/>
    <w:rsid w:val="00C22D92"/>
    <w:rsid w:val="00C23CF0"/>
    <w:rsid w:val="00C249F4"/>
    <w:rsid w:val="00C31272"/>
    <w:rsid w:val="00C31BB5"/>
    <w:rsid w:val="00C34562"/>
    <w:rsid w:val="00C369F9"/>
    <w:rsid w:val="00C47AA5"/>
    <w:rsid w:val="00C51826"/>
    <w:rsid w:val="00C525CD"/>
    <w:rsid w:val="00C52A04"/>
    <w:rsid w:val="00C52F58"/>
    <w:rsid w:val="00C5468F"/>
    <w:rsid w:val="00C551BE"/>
    <w:rsid w:val="00C55F9D"/>
    <w:rsid w:val="00C56C46"/>
    <w:rsid w:val="00C579D5"/>
    <w:rsid w:val="00C57FF1"/>
    <w:rsid w:val="00C60145"/>
    <w:rsid w:val="00C60836"/>
    <w:rsid w:val="00C60B49"/>
    <w:rsid w:val="00C60FF0"/>
    <w:rsid w:val="00C61564"/>
    <w:rsid w:val="00C6168E"/>
    <w:rsid w:val="00C62223"/>
    <w:rsid w:val="00C63544"/>
    <w:rsid w:val="00C715BD"/>
    <w:rsid w:val="00C7228F"/>
    <w:rsid w:val="00C76128"/>
    <w:rsid w:val="00C82776"/>
    <w:rsid w:val="00C8303E"/>
    <w:rsid w:val="00C83C7F"/>
    <w:rsid w:val="00C84EC9"/>
    <w:rsid w:val="00C85731"/>
    <w:rsid w:val="00C8685C"/>
    <w:rsid w:val="00C87826"/>
    <w:rsid w:val="00C900B9"/>
    <w:rsid w:val="00C9010F"/>
    <w:rsid w:val="00C9066A"/>
    <w:rsid w:val="00C90AE0"/>
    <w:rsid w:val="00C926AE"/>
    <w:rsid w:val="00C9400D"/>
    <w:rsid w:val="00C9595A"/>
    <w:rsid w:val="00CA0FE5"/>
    <w:rsid w:val="00CA1B3B"/>
    <w:rsid w:val="00CA291D"/>
    <w:rsid w:val="00CA560E"/>
    <w:rsid w:val="00CA5CC9"/>
    <w:rsid w:val="00CA723F"/>
    <w:rsid w:val="00CB09CE"/>
    <w:rsid w:val="00CB1B1A"/>
    <w:rsid w:val="00CB2A6E"/>
    <w:rsid w:val="00CB6C17"/>
    <w:rsid w:val="00CB7304"/>
    <w:rsid w:val="00CB78C4"/>
    <w:rsid w:val="00CC0897"/>
    <w:rsid w:val="00CC1CB4"/>
    <w:rsid w:val="00CC3478"/>
    <w:rsid w:val="00CC7D0A"/>
    <w:rsid w:val="00CD02AB"/>
    <w:rsid w:val="00CD13F8"/>
    <w:rsid w:val="00CD28D5"/>
    <w:rsid w:val="00CD2EA0"/>
    <w:rsid w:val="00CD330F"/>
    <w:rsid w:val="00CD4123"/>
    <w:rsid w:val="00CD6788"/>
    <w:rsid w:val="00CD681E"/>
    <w:rsid w:val="00CE11F6"/>
    <w:rsid w:val="00CE2716"/>
    <w:rsid w:val="00CE2DFA"/>
    <w:rsid w:val="00CE2F2A"/>
    <w:rsid w:val="00CE461E"/>
    <w:rsid w:val="00CE699E"/>
    <w:rsid w:val="00CE7B3A"/>
    <w:rsid w:val="00CF00D7"/>
    <w:rsid w:val="00CF01F6"/>
    <w:rsid w:val="00CF2C6A"/>
    <w:rsid w:val="00CF5CDF"/>
    <w:rsid w:val="00CF6DC4"/>
    <w:rsid w:val="00CF76B3"/>
    <w:rsid w:val="00CF77BF"/>
    <w:rsid w:val="00CF7D07"/>
    <w:rsid w:val="00D00BE7"/>
    <w:rsid w:val="00D00E94"/>
    <w:rsid w:val="00D03109"/>
    <w:rsid w:val="00D03A53"/>
    <w:rsid w:val="00D04219"/>
    <w:rsid w:val="00D042B9"/>
    <w:rsid w:val="00D05FC4"/>
    <w:rsid w:val="00D075C8"/>
    <w:rsid w:val="00D100AF"/>
    <w:rsid w:val="00D100F6"/>
    <w:rsid w:val="00D11A4B"/>
    <w:rsid w:val="00D12785"/>
    <w:rsid w:val="00D14823"/>
    <w:rsid w:val="00D15D09"/>
    <w:rsid w:val="00D17BFC"/>
    <w:rsid w:val="00D21F05"/>
    <w:rsid w:val="00D24521"/>
    <w:rsid w:val="00D250E4"/>
    <w:rsid w:val="00D270E9"/>
    <w:rsid w:val="00D27C6F"/>
    <w:rsid w:val="00D30B66"/>
    <w:rsid w:val="00D31842"/>
    <w:rsid w:val="00D31C14"/>
    <w:rsid w:val="00D33FE6"/>
    <w:rsid w:val="00D35098"/>
    <w:rsid w:val="00D36F00"/>
    <w:rsid w:val="00D40A25"/>
    <w:rsid w:val="00D42F42"/>
    <w:rsid w:val="00D43767"/>
    <w:rsid w:val="00D4461C"/>
    <w:rsid w:val="00D478F6"/>
    <w:rsid w:val="00D501A1"/>
    <w:rsid w:val="00D52251"/>
    <w:rsid w:val="00D52720"/>
    <w:rsid w:val="00D5416D"/>
    <w:rsid w:val="00D60512"/>
    <w:rsid w:val="00D60B36"/>
    <w:rsid w:val="00D61D54"/>
    <w:rsid w:val="00D63CCB"/>
    <w:rsid w:val="00D64D6E"/>
    <w:rsid w:val="00D65446"/>
    <w:rsid w:val="00D65E59"/>
    <w:rsid w:val="00D67480"/>
    <w:rsid w:val="00D7055A"/>
    <w:rsid w:val="00D70A75"/>
    <w:rsid w:val="00D72A31"/>
    <w:rsid w:val="00D73D1F"/>
    <w:rsid w:val="00D7465B"/>
    <w:rsid w:val="00D801D2"/>
    <w:rsid w:val="00D8203D"/>
    <w:rsid w:val="00D83BF3"/>
    <w:rsid w:val="00D85741"/>
    <w:rsid w:val="00D903E2"/>
    <w:rsid w:val="00D9055C"/>
    <w:rsid w:val="00D90A45"/>
    <w:rsid w:val="00D90C50"/>
    <w:rsid w:val="00D92F9F"/>
    <w:rsid w:val="00D93260"/>
    <w:rsid w:val="00D934F0"/>
    <w:rsid w:val="00D93834"/>
    <w:rsid w:val="00D94754"/>
    <w:rsid w:val="00D94C5D"/>
    <w:rsid w:val="00D956CC"/>
    <w:rsid w:val="00D95E2C"/>
    <w:rsid w:val="00D977EB"/>
    <w:rsid w:val="00DA3DF4"/>
    <w:rsid w:val="00DA48DA"/>
    <w:rsid w:val="00DA6976"/>
    <w:rsid w:val="00DA7ECA"/>
    <w:rsid w:val="00DB0169"/>
    <w:rsid w:val="00DB02E7"/>
    <w:rsid w:val="00DB0AC3"/>
    <w:rsid w:val="00DB19FF"/>
    <w:rsid w:val="00DB1F3F"/>
    <w:rsid w:val="00DB2168"/>
    <w:rsid w:val="00DB21FC"/>
    <w:rsid w:val="00DB2200"/>
    <w:rsid w:val="00DB31BA"/>
    <w:rsid w:val="00DB41EA"/>
    <w:rsid w:val="00DB456B"/>
    <w:rsid w:val="00DB67FA"/>
    <w:rsid w:val="00DB6D2A"/>
    <w:rsid w:val="00DB6E4E"/>
    <w:rsid w:val="00DB715E"/>
    <w:rsid w:val="00DB71DB"/>
    <w:rsid w:val="00DC0F1A"/>
    <w:rsid w:val="00DC1FEA"/>
    <w:rsid w:val="00DC2152"/>
    <w:rsid w:val="00DC6060"/>
    <w:rsid w:val="00DC611C"/>
    <w:rsid w:val="00DC663A"/>
    <w:rsid w:val="00DC7E22"/>
    <w:rsid w:val="00DD0632"/>
    <w:rsid w:val="00DD2A09"/>
    <w:rsid w:val="00DD31EE"/>
    <w:rsid w:val="00DD3713"/>
    <w:rsid w:val="00DD3B2B"/>
    <w:rsid w:val="00DD3CB9"/>
    <w:rsid w:val="00DD55D5"/>
    <w:rsid w:val="00DD590B"/>
    <w:rsid w:val="00DD6466"/>
    <w:rsid w:val="00DD6D36"/>
    <w:rsid w:val="00DE12BA"/>
    <w:rsid w:val="00DE15FC"/>
    <w:rsid w:val="00DE7345"/>
    <w:rsid w:val="00DE744B"/>
    <w:rsid w:val="00DF043F"/>
    <w:rsid w:val="00DF253B"/>
    <w:rsid w:val="00DF278B"/>
    <w:rsid w:val="00DF3D29"/>
    <w:rsid w:val="00DF6EFD"/>
    <w:rsid w:val="00DF742C"/>
    <w:rsid w:val="00DF7938"/>
    <w:rsid w:val="00E000E2"/>
    <w:rsid w:val="00E004DB"/>
    <w:rsid w:val="00E005C1"/>
    <w:rsid w:val="00E01B3E"/>
    <w:rsid w:val="00E01C97"/>
    <w:rsid w:val="00E020B4"/>
    <w:rsid w:val="00E028C6"/>
    <w:rsid w:val="00E07299"/>
    <w:rsid w:val="00E10987"/>
    <w:rsid w:val="00E10E9F"/>
    <w:rsid w:val="00E12162"/>
    <w:rsid w:val="00E1237D"/>
    <w:rsid w:val="00E1246C"/>
    <w:rsid w:val="00E15335"/>
    <w:rsid w:val="00E15FE2"/>
    <w:rsid w:val="00E17A0A"/>
    <w:rsid w:val="00E20973"/>
    <w:rsid w:val="00E20EAD"/>
    <w:rsid w:val="00E20FD1"/>
    <w:rsid w:val="00E2114F"/>
    <w:rsid w:val="00E231B5"/>
    <w:rsid w:val="00E26138"/>
    <w:rsid w:val="00E27D5F"/>
    <w:rsid w:val="00E32F77"/>
    <w:rsid w:val="00E336F0"/>
    <w:rsid w:val="00E339F8"/>
    <w:rsid w:val="00E33F31"/>
    <w:rsid w:val="00E37B03"/>
    <w:rsid w:val="00E41838"/>
    <w:rsid w:val="00E429CC"/>
    <w:rsid w:val="00E44A2E"/>
    <w:rsid w:val="00E456B9"/>
    <w:rsid w:val="00E50D4C"/>
    <w:rsid w:val="00E51892"/>
    <w:rsid w:val="00E51C99"/>
    <w:rsid w:val="00E5267F"/>
    <w:rsid w:val="00E52E82"/>
    <w:rsid w:val="00E541DB"/>
    <w:rsid w:val="00E5456A"/>
    <w:rsid w:val="00E54F18"/>
    <w:rsid w:val="00E60E89"/>
    <w:rsid w:val="00E61936"/>
    <w:rsid w:val="00E62BA0"/>
    <w:rsid w:val="00E64002"/>
    <w:rsid w:val="00E65069"/>
    <w:rsid w:val="00E6615D"/>
    <w:rsid w:val="00E661DA"/>
    <w:rsid w:val="00E666A2"/>
    <w:rsid w:val="00E676F8"/>
    <w:rsid w:val="00E67788"/>
    <w:rsid w:val="00E6795C"/>
    <w:rsid w:val="00E70C6B"/>
    <w:rsid w:val="00E70CBD"/>
    <w:rsid w:val="00E70FF3"/>
    <w:rsid w:val="00E723B5"/>
    <w:rsid w:val="00E72D9D"/>
    <w:rsid w:val="00E73518"/>
    <w:rsid w:val="00E73A92"/>
    <w:rsid w:val="00E760AA"/>
    <w:rsid w:val="00E76C41"/>
    <w:rsid w:val="00E775D3"/>
    <w:rsid w:val="00E806D4"/>
    <w:rsid w:val="00E827E8"/>
    <w:rsid w:val="00E832F5"/>
    <w:rsid w:val="00E85FC6"/>
    <w:rsid w:val="00E86D1B"/>
    <w:rsid w:val="00E87DB5"/>
    <w:rsid w:val="00E963FB"/>
    <w:rsid w:val="00E975A8"/>
    <w:rsid w:val="00EA0275"/>
    <w:rsid w:val="00EA29A3"/>
    <w:rsid w:val="00EA543D"/>
    <w:rsid w:val="00EA71B1"/>
    <w:rsid w:val="00EA7E07"/>
    <w:rsid w:val="00EB025B"/>
    <w:rsid w:val="00EB198B"/>
    <w:rsid w:val="00EB2240"/>
    <w:rsid w:val="00EB38EF"/>
    <w:rsid w:val="00EB44C1"/>
    <w:rsid w:val="00EC15BB"/>
    <w:rsid w:val="00EC161A"/>
    <w:rsid w:val="00EC4E93"/>
    <w:rsid w:val="00EC6E0D"/>
    <w:rsid w:val="00ED006E"/>
    <w:rsid w:val="00ED0802"/>
    <w:rsid w:val="00ED4506"/>
    <w:rsid w:val="00ED5D29"/>
    <w:rsid w:val="00ED6EE3"/>
    <w:rsid w:val="00ED6F01"/>
    <w:rsid w:val="00EE1F28"/>
    <w:rsid w:val="00EE455B"/>
    <w:rsid w:val="00EE46DE"/>
    <w:rsid w:val="00EE7541"/>
    <w:rsid w:val="00EE79AE"/>
    <w:rsid w:val="00EF067B"/>
    <w:rsid w:val="00EF0CD0"/>
    <w:rsid w:val="00EF2564"/>
    <w:rsid w:val="00EF284D"/>
    <w:rsid w:val="00EF2A2C"/>
    <w:rsid w:val="00EF30E5"/>
    <w:rsid w:val="00EF4272"/>
    <w:rsid w:val="00EF5746"/>
    <w:rsid w:val="00EF587D"/>
    <w:rsid w:val="00EF7A51"/>
    <w:rsid w:val="00EF7E66"/>
    <w:rsid w:val="00F0098C"/>
    <w:rsid w:val="00F03628"/>
    <w:rsid w:val="00F06D25"/>
    <w:rsid w:val="00F10780"/>
    <w:rsid w:val="00F11E9E"/>
    <w:rsid w:val="00F1504E"/>
    <w:rsid w:val="00F1512E"/>
    <w:rsid w:val="00F1700F"/>
    <w:rsid w:val="00F206EA"/>
    <w:rsid w:val="00F232DE"/>
    <w:rsid w:val="00F24977"/>
    <w:rsid w:val="00F24B2C"/>
    <w:rsid w:val="00F26279"/>
    <w:rsid w:val="00F2705F"/>
    <w:rsid w:val="00F27C6C"/>
    <w:rsid w:val="00F33BDF"/>
    <w:rsid w:val="00F3755A"/>
    <w:rsid w:val="00F37A62"/>
    <w:rsid w:val="00F4129B"/>
    <w:rsid w:val="00F43AF9"/>
    <w:rsid w:val="00F43F47"/>
    <w:rsid w:val="00F45473"/>
    <w:rsid w:val="00F45A78"/>
    <w:rsid w:val="00F468B8"/>
    <w:rsid w:val="00F470C3"/>
    <w:rsid w:val="00F51A9F"/>
    <w:rsid w:val="00F52D4D"/>
    <w:rsid w:val="00F52E60"/>
    <w:rsid w:val="00F537FA"/>
    <w:rsid w:val="00F618F1"/>
    <w:rsid w:val="00F6244C"/>
    <w:rsid w:val="00F62A1B"/>
    <w:rsid w:val="00F6439E"/>
    <w:rsid w:val="00F650D3"/>
    <w:rsid w:val="00F65F19"/>
    <w:rsid w:val="00F6643C"/>
    <w:rsid w:val="00F7024F"/>
    <w:rsid w:val="00F72189"/>
    <w:rsid w:val="00F73219"/>
    <w:rsid w:val="00F73667"/>
    <w:rsid w:val="00F73D39"/>
    <w:rsid w:val="00F7454F"/>
    <w:rsid w:val="00F7637B"/>
    <w:rsid w:val="00F76BCF"/>
    <w:rsid w:val="00F77354"/>
    <w:rsid w:val="00F77CF6"/>
    <w:rsid w:val="00F8335E"/>
    <w:rsid w:val="00F86559"/>
    <w:rsid w:val="00F87C10"/>
    <w:rsid w:val="00F91E8F"/>
    <w:rsid w:val="00F92280"/>
    <w:rsid w:val="00F941F9"/>
    <w:rsid w:val="00F943CE"/>
    <w:rsid w:val="00F9478D"/>
    <w:rsid w:val="00F973D9"/>
    <w:rsid w:val="00FA062B"/>
    <w:rsid w:val="00FA0D5C"/>
    <w:rsid w:val="00FA1077"/>
    <w:rsid w:val="00FA1F6D"/>
    <w:rsid w:val="00FA21AA"/>
    <w:rsid w:val="00FA4639"/>
    <w:rsid w:val="00FA47DC"/>
    <w:rsid w:val="00FA6179"/>
    <w:rsid w:val="00FA66DE"/>
    <w:rsid w:val="00FA6C94"/>
    <w:rsid w:val="00FA7CB6"/>
    <w:rsid w:val="00FB071A"/>
    <w:rsid w:val="00FB1A16"/>
    <w:rsid w:val="00FB1A1C"/>
    <w:rsid w:val="00FB2692"/>
    <w:rsid w:val="00FB45DC"/>
    <w:rsid w:val="00FB5FAE"/>
    <w:rsid w:val="00FB676B"/>
    <w:rsid w:val="00FB743A"/>
    <w:rsid w:val="00FB75B2"/>
    <w:rsid w:val="00FB7FC4"/>
    <w:rsid w:val="00FC0303"/>
    <w:rsid w:val="00FC1267"/>
    <w:rsid w:val="00FC2751"/>
    <w:rsid w:val="00FC28C3"/>
    <w:rsid w:val="00FC296D"/>
    <w:rsid w:val="00FC430A"/>
    <w:rsid w:val="00FC5120"/>
    <w:rsid w:val="00FC5961"/>
    <w:rsid w:val="00FC5F3D"/>
    <w:rsid w:val="00FD0D95"/>
    <w:rsid w:val="00FD3526"/>
    <w:rsid w:val="00FD5713"/>
    <w:rsid w:val="00FD6CF0"/>
    <w:rsid w:val="00FD7CF9"/>
    <w:rsid w:val="00FE0185"/>
    <w:rsid w:val="00FE0DFF"/>
    <w:rsid w:val="00FE39A9"/>
    <w:rsid w:val="00FE4B86"/>
    <w:rsid w:val="00FE6A77"/>
    <w:rsid w:val="00FE7FCF"/>
    <w:rsid w:val="00FF1D41"/>
    <w:rsid w:val="00FF2CC0"/>
    <w:rsid w:val="00FF2F4B"/>
    <w:rsid w:val="00FF4EC4"/>
    <w:rsid w:val="2719575F"/>
    <w:rsid w:val="6762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3A7E"/>
  <w15:docId w15:val="{5458DDB3-8E10-49C3-AF80-28EE1128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sz w:val="24"/>
      <w:szCs w:val="24"/>
      <w:lang w:val="ro-RO"/>
    </w:rPr>
  </w:style>
  <w:style w:type="paragraph" w:styleId="Heading1">
    <w:name w:val="heading 1"/>
    <w:basedOn w:val="Normal"/>
    <w:next w:val="Normal"/>
    <w:link w:val="Heading1Char"/>
    <w:qFormat/>
    <w:pPr>
      <w:keepNext/>
      <w:spacing w:line="360" w:lineRule="auto"/>
      <w:outlineLvl w:val="0"/>
    </w:pPr>
    <w:rPr>
      <w:sz w:val="28"/>
    </w:rPr>
  </w:style>
  <w:style w:type="paragraph" w:styleId="Heading2">
    <w:name w:val="heading 2"/>
    <w:basedOn w:val="Normal"/>
    <w:next w:val="Normal"/>
    <w:link w:val="Heading2Char"/>
    <w:qFormat/>
    <w:pPr>
      <w:keepNext/>
      <w:jc w:val="both"/>
      <w:outlineLvl w:val="1"/>
    </w:pPr>
    <w:rPr>
      <w:sz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qFormat/>
    <w:pPr>
      <w:keepNext/>
      <w:spacing w:before="120" w:after="120" w:line="360" w:lineRule="auto"/>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semiHidden/>
    <w:qFormat/>
    <w:pPr>
      <w:jc w:val="both"/>
    </w:pPr>
    <w:rPr>
      <w:sz w:val="28"/>
    </w:rPr>
  </w:style>
  <w:style w:type="paragraph" w:styleId="BodyTextIndent2">
    <w:name w:val="Body Text Indent 2"/>
    <w:basedOn w:val="Normal"/>
    <w:link w:val="BodyTextIndent2Char"/>
    <w:semiHidden/>
    <w:qFormat/>
    <w:pPr>
      <w:spacing w:before="120" w:after="120" w:line="360" w:lineRule="auto"/>
      <w:ind w:firstLine="357"/>
    </w:pPr>
    <w:rPr>
      <w:b/>
      <w:bCs/>
      <w:sz w:val="2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qFormat/>
    <w:pPr>
      <w:tabs>
        <w:tab w:val="center" w:pos="4536"/>
        <w:tab w:val="right" w:pos="9072"/>
      </w:tabs>
    </w:pPr>
  </w:style>
  <w:style w:type="paragraph" w:styleId="Header">
    <w:name w:val="header"/>
    <w:basedOn w:val="Normal"/>
    <w:link w:val="HeaderChar"/>
    <w:uiPriority w:val="99"/>
    <w:unhideWhenUsed/>
    <w:qFormat/>
    <w:pPr>
      <w:tabs>
        <w:tab w:val="center" w:pos="4536"/>
        <w:tab w:val="right" w:pos="9072"/>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paragraph" w:styleId="Title">
    <w:name w:val="Title"/>
    <w:basedOn w:val="Normal"/>
    <w:link w:val="TitleChar"/>
    <w:qFormat/>
    <w:pPr>
      <w:spacing w:line="360" w:lineRule="auto"/>
      <w:jc w:val="center"/>
    </w:pPr>
    <w:rPr>
      <w:b/>
      <w:sz w:val="32"/>
      <w:szCs w:val="32"/>
    </w:rPr>
  </w:style>
  <w:style w:type="character" w:styleId="CommentReference">
    <w:name w:val="annotation reference"/>
    <w:basedOn w:val="DefaultParagraphFont"/>
    <w:uiPriority w:val="99"/>
    <w:unhideWhenUsed/>
    <w:qFormat/>
    <w:rPr>
      <w:sz w:val="16"/>
      <w:szCs w:val="16"/>
    </w:rPr>
  </w:style>
  <w:style w:type="character" w:styleId="Hyperlink">
    <w:name w:val="Hyperlink"/>
    <w:basedOn w:val="DefaultParagraphFont"/>
    <w:uiPriority w:val="99"/>
    <w:unhideWhenUsed/>
    <w:qFormat/>
    <w:rPr>
      <w:color w:val="0000FF"/>
      <w:u w:val="single"/>
    </w:rPr>
  </w:style>
  <w:style w:type="character" w:styleId="PageNumber">
    <w:name w:val="page number"/>
    <w:basedOn w:val="DefaultParagraphFont"/>
    <w:qFormat/>
  </w:style>
  <w:style w:type="table" w:styleId="TableGrid">
    <w:name w:val="Table Grid"/>
    <w:basedOn w:val="TableNormal"/>
    <w:qFormat/>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1">
    <w:name w:val="Colorful List Accent 1"/>
    <w:basedOn w:val="TableNormal"/>
    <w:uiPriority w:val="34"/>
    <w:qFormat/>
    <w:pPr>
      <w:spacing w:after="0" w:line="240" w:lineRule="auto"/>
    </w:pPr>
    <w:rPr>
      <w:sz w:val="24"/>
      <w:szCs w:val="24"/>
      <w:lang w:val="ro-RO"/>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qFormat/>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qFormat/>
    <w:rPr>
      <w:rFonts w:ascii="Times New Roman" w:eastAsia="Times New Roman" w:hAnsi="Times New Roman" w:cs="Times New Roman"/>
      <w:sz w:val="28"/>
      <w:szCs w:val="24"/>
      <w:lang w:val="ro-RO"/>
    </w:rPr>
  </w:style>
  <w:style w:type="character" w:customStyle="1" w:styleId="Heading6Char">
    <w:name w:val="Heading 6 Char"/>
    <w:basedOn w:val="DefaultParagraphFont"/>
    <w:link w:val="Heading6"/>
    <w:rPr>
      <w:rFonts w:ascii="Times New Roman" w:eastAsia="Times New Roman" w:hAnsi="Times New Roman" w:cs="Times New Roman"/>
      <w:b/>
      <w:sz w:val="28"/>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sz w:val="28"/>
      <w:szCs w:val="24"/>
      <w:lang w:val="ro-RO"/>
    </w:rPr>
  </w:style>
  <w:style w:type="character" w:customStyle="1" w:styleId="BodyText2Char">
    <w:name w:val="Body Text 2 Char"/>
    <w:basedOn w:val="DefaultParagraphFont"/>
    <w:link w:val="BodyText2"/>
    <w:semiHidden/>
    <w:rPr>
      <w:rFonts w:ascii="Times New Roman" w:eastAsia="Times New Roman" w:hAnsi="Times New Roman" w:cs="Times New Roman"/>
      <w:sz w:val="28"/>
      <w:szCs w:val="24"/>
      <w:lang w:val="ro-RO"/>
    </w:rPr>
  </w:style>
  <w:style w:type="character" w:customStyle="1" w:styleId="TitleChar">
    <w:name w:val="Title Char"/>
    <w:basedOn w:val="DefaultParagraphFont"/>
    <w:link w:val="Title"/>
    <w:qFormat/>
    <w:rPr>
      <w:rFonts w:ascii="Times New Roman" w:eastAsia="Times New Roman" w:hAnsi="Times New Roman" w:cs="Times New Roman"/>
      <w:b/>
      <w:sz w:val="32"/>
      <w:szCs w:val="32"/>
      <w:lang w:val="ro-RO"/>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ro-RO"/>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ro-RO" w:eastAsia="ro-RO"/>
    </w:rPr>
  </w:style>
  <w:style w:type="paragraph" w:styleId="NoSpacing">
    <w:name w:val="No Spacing"/>
    <w:link w:val="NoSpacingChar"/>
    <w:qFormat/>
    <w:pPr>
      <w:spacing w:after="0" w:line="240" w:lineRule="auto"/>
    </w:pPr>
    <w:rPr>
      <w:sz w:val="22"/>
      <w:szCs w:val="22"/>
    </w:rPr>
  </w:style>
  <w:style w:type="character" w:customStyle="1" w:styleId="NoSpacingChar">
    <w:name w:val="No Spacing Char"/>
    <w:link w:val="NoSpacing"/>
    <w:qFormat/>
    <w:locked/>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ro-RO"/>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ro-RO"/>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ro-RO"/>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sz w:val="24"/>
      <w:szCs w:val="24"/>
      <w:lang w:val="ro-RO"/>
    </w:rPr>
  </w:style>
  <w:style w:type="paragraph" w:styleId="ListParagraph">
    <w:name w:val="List Paragraph"/>
    <w:basedOn w:val="Normal"/>
    <w:link w:val="ListParagraphChar"/>
    <w:uiPriority w:val="34"/>
    <w:qFormat/>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locked/>
    <w:rPr>
      <w:sz w:val="24"/>
      <w:szCs w:val="24"/>
      <w:lang w:val="ro-RO"/>
    </w:rPr>
  </w:style>
  <w:style w:type="character" w:customStyle="1" w:styleId="ColorfulList-Accent1Char">
    <w:name w:val="Colorful List - Accent 1 Char"/>
    <w:uiPriority w:val="34"/>
    <w:qFormat/>
    <w:locked/>
    <w:rPr>
      <w:sz w:val="24"/>
      <w:szCs w:val="24"/>
      <w:lang w:val="ro-RO"/>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ro-RO"/>
    </w:rPr>
  </w:style>
  <w:style w:type="character" w:customStyle="1" w:styleId="panchor">
    <w:name w:val="panchor"/>
    <w:basedOn w:val="DefaultParagraphFont"/>
    <w:qFormat/>
  </w:style>
  <w:style w:type="character" w:customStyle="1" w:styleId="slgi">
    <w:name w:val="s_lgi"/>
    <w:basedOn w:val="DefaultParagraphFont"/>
    <w:qFormat/>
  </w:style>
  <w:style w:type="paragraph" w:customStyle="1" w:styleId="Revision1">
    <w:name w:val="Revision1"/>
    <w:hidden/>
    <w:uiPriority w:val="99"/>
    <w:semiHidden/>
    <w:qFormat/>
    <w:pPr>
      <w:spacing w:after="0" w:line="240" w:lineRule="auto"/>
    </w:pPr>
    <w:rPr>
      <w:rFonts w:ascii="Times New Roman" w:eastAsia="Times New Roman" w:hAnsi="Times New Roman"/>
      <w:sz w:val="24"/>
      <w:szCs w:val="24"/>
      <w:lang w:val="ro-RO"/>
    </w:rPr>
  </w:style>
  <w:style w:type="table" w:customStyle="1" w:styleId="TableGrid1">
    <w:name w:val="Table Grid1"/>
    <w:basedOn w:val="TableNormal"/>
    <w:uiPriority w:val="59"/>
    <w:qFormat/>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spacing w:after="0" w:line="240" w:lineRule="auto"/>
    </w:pPr>
    <w:rPr>
      <w:rFonts w:ascii="EUAlbertina" w:eastAsiaTheme="minorHAnsi" w:hAnsi="EUAlbertina" w:cs="EUAlbertina"/>
      <w:color w:val="000000"/>
      <w:sz w:val="24"/>
      <w:szCs w:val="24"/>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26C68-E63F-43D8-B38B-526D8FAA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3992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IULIANA-MIHAELA CERNAZEANU</dc:creator>
  <cp:lastModifiedBy>OCTAVIAN-NELU DRAGU</cp:lastModifiedBy>
  <cp:revision>27</cp:revision>
  <cp:lastPrinted>2022-09-28T08:45:00Z</cp:lastPrinted>
  <dcterms:created xsi:type="dcterms:W3CDTF">2023-01-03T13:37:00Z</dcterms:created>
  <dcterms:modified xsi:type="dcterms:W3CDTF">2023-01-13T07:42:00Z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